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A14A9C">
      <w:pPr>
        <w:spacing w:after="0"/>
        <w:ind w:firstLine="708"/>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465166AB" w14:textId="288DACB7" w:rsidR="001B7CA2" w:rsidRPr="0002213A" w:rsidRDefault="001D03A6" w:rsidP="00B669A0">
      <w:pPr>
        <w:pBdr>
          <w:bottom w:val="single" w:sz="4" w:space="1" w:color="auto"/>
        </w:pBdr>
        <w:rPr>
          <w:b/>
          <w:bCs/>
          <w:lang w:val="en-GB"/>
        </w:rPr>
      </w:pPr>
      <w:r>
        <w:rPr>
          <w:b/>
          <w:lang w:val="en-AU"/>
        </w:rPr>
        <w:t xml:space="preserve">GREECE </w:t>
      </w:r>
      <w:r w:rsidR="00B669A0" w:rsidRPr="0002213A">
        <w:rPr>
          <w:b/>
          <w:bCs/>
          <w:lang w:val="en-AU"/>
        </w:rPr>
        <w:t>REVIEW</w:t>
      </w:r>
    </w:p>
    <w:p w14:paraId="71CFA76C" w14:textId="35F58C9B" w:rsidR="00694C36" w:rsidRPr="00982B68" w:rsidRDefault="001B7CA2" w:rsidP="001B7CA2">
      <w:pPr>
        <w:rPr>
          <w:lang w:val="en-GB"/>
        </w:rPr>
      </w:pPr>
      <w:r w:rsidRPr="001B7CA2">
        <w:rPr>
          <w:b/>
          <w:bCs/>
          <w:lang w:val="en-GB"/>
        </w:rPr>
        <w:t xml:space="preserve">I. Justice System </w:t>
      </w: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018B5078"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2062C0FC" w14:textId="015D4C52" w:rsidR="000419B4" w:rsidRDefault="000419B4" w:rsidP="000419B4">
      <w:pPr>
        <w:spacing w:after="0" w:line="240" w:lineRule="auto"/>
        <w:jc w:val="both"/>
        <w:rPr>
          <w:rFonts w:ascii="Calibri" w:eastAsia="Times New Roman" w:hAnsi="Calibri" w:cs="Calibri"/>
          <w:color w:val="000000"/>
          <w:bdr w:val="none" w:sz="0" w:space="0" w:color="auto" w:frame="1"/>
          <w:lang w:val="en-US" w:eastAsia="fr-FR"/>
        </w:rPr>
      </w:pPr>
      <w:r>
        <w:rPr>
          <w:rFonts w:ascii="Calibri" w:eastAsia="Times New Roman" w:hAnsi="Calibri" w:cs="Calibri"/>
          <w:color w:val="000000"/>
          <w:bdr w:val="none" w:sz="0" w:space="0" w:color="auto" w:frame="1"/>
          <w:lang w:val="en-US" w:eastAsia="fr-FR"/>
        </w:rPr>
        <w:t xml:space="preserve">In November 2021, four UN Special Procedures entered into a dialogue with Greece regarding the alleged criminalization of defenders of the rights of migrants, refugees and asylum seekers, Ms. Sarah Mardini and </w:t>
      </w:r>
      <w:r w:rsidR="007F10F9">
        <w:rPr>
          <w:rFonts w:ascii="Calibri" w:eastAsia="Times New Roman" w:hAnsi="Calibri" w:cs="Calibri"/>
          <w:color w:val="000000"/>
          <w:bdr w:val="none" w:sz="0" w:space="0" w:color="auto" w:frame="1"/>
          <w:lang w:val="en-US" w:eastAsia="fr-FR"/>
        </w:rPr>
        <w:t xml:space="preserve">Mr. </w:t>
      </w:r>
      <w:r w:rsidR="00B41DB0">
        <w:rPr>
          <w:rFonts w:ascii="Calibri" w:eastAsia="Times New Roman" w:hAnsi="Calibri" w:cs="Calibri"/>
          <w:color w:val="000000"/>
          <w:bdr w:val="none" w:sz="0" w:space="0" w:color="auto" w:frame="1"/>
          <w:lang w:val="en-US" w:eastAsia="fr-FR"/>
        </w:rPr>
        <w:t>Seán Binder. They</w:t>
      </w:r>
      <w:r>
        <w:rPr>
          <w:rFonts w:ascii="Calibri" w:eastAsia="Times New Roman" w:hAnsi="Calibri" w:cs="Calibri"/>
          <w:color w:val="000000"/>
          <w:bdr w:val="none" w:sz="0" w:space="0" w:color="auto" w:frame="1"/>
          <w:lang w:val="en-US" w:eastAsia="fr-FR"/>
        </w:rPr>
        <w:t xml:space="preserve"> </w:t>
      </w:r>
      <w:r w:rsidR="00457EE6">
        <w:rPr>
          <w:rFonts w:ascii="Calibri" w:eastAsia="Times New Roman" w:hAnsi="Calibri" w:cs="Calibri"/>
          <w:color w:val="000000"/>
          <w:bdr w:val="none" w:sz="0" w:space="0" w:color="auto" w:frame="1"/>
          <w:lang w:val="en-US" w:eastAsia="fr-FR"/>
        </w:rPr>
        <w:t>referred to</w:t>
      </w:r>
      <w:r>
        <w:rPr>
          <w:rFonts w:ascii="Calibri" w:eastAsia="Times New Roman" w:hAnsi="Calibri" w:cs="Calibri"/>
          <w:color w:val="000000"/>
          <w:bdr w:val="none" w:sz="0" w:space="0" w:color="auto" w:frame="1"/>
          <w:lang w:val="en-US" w:eastAsia="fr-FR"/>
        </w:rPr>
        <w:t xml:space="preserve"> reported irregularities in the justification for the charges, and </w:t>
      </w:r>
      <w:r w:rsidR="00457EE6">
        <w:rPr>
          <w:rFonts w:ascii="Calibri" w:eastAsia="Times New Roman" w:hAnsi="Calibri" w:cs="Calibri"/>
          <w:color w:val="000000"/>
          <w:bdr w:val="none" w:sz="0" w:space="0" w:color="auto" w:frame="1"/>
          <w:lang w:val="en-US" w:eastAsia="fr-FR"/>
        </w:rPr>
        <w:t xml:space="preserve">the </w:t>
      </w:r>
      <w:r>
        <w:rPr>
          <w:rFonts w:ascii="Calibri" w:eastAsia="Times New Roman" w:hAnsi="Calibri" w:cs="Calibri"/>
          <w:color w:val="000000"/>
          <w:bdr w:val="none" w:sz="0" w:space="0" w:color="auto" w:frame="1"/>
          <w:lang w:val="en-US" w:eastAsia="fr-FR"/>
        </w:rPr>
        <w:t xml:space="preserve">lengthy delay of over two years </w:t>
      </w:r>
      <w:r w:rsidR="00457EE6">
        <w:rPr>
          <w:rFonts w:ascii="Calibri" w:eastAsia="Times New Roman" w:hAnsi="Calibri" w:cs="Calibri"/>
          <w:color w:val="000000"/>
          <w:bdr w:val="none" w:sz="0" w:space="0" w:color="auto" w:frame="1"/>
          <w:lang w:val="en-US" w:eastAsia="fr-FR"/>
        </w:rPr>
        <w:t xml:space="preserve">that had </w:t>
      </w:r>
      <w:r>
        <w:rPr>
          <w:rFonts w:ascii="Calibri" w:eastAsia="Times New Roman" w:hAnsi="Calibri" w:cs="Calibri"/>
          <w:color w:val="000000"/>
          <w:bdr w:val="none" w:sz="0" w:space="0" w:color="auto" w:frame="1"/>
          <w:lang w:val="en-US" w:eastAsia="fr-FR"/>
        </w:rPr>
        <w:t>already passed since Ms. Mardini and Mr. Binder</w:t>
      </w:r>
      <w:r w:rsidR="00457EE6">
        <w:rPr>
          <w:rFonts w:ascii="Calibri" w:eastAsia="Times New Roman" w:hAnsi="Calibri" w:cs="Calibri"/>
          <w:color w:val="000000"/>
          <w:bdr w:val="none" w:sz="0" w:space="0" w:color="auto" w:frame="1"/>
          <w:lang w:val="en-US" w:eastAsia="fr-FR"/>
        </w:rPr>
        <w:t>’s arrest and accusation</w:t>
      </w:r>
      <w:r>
        <w:rPr>
          <w:rFonts w:ascii="Calibri" w:eastAsia="Times New Roman" w:hAnsi="Calibri" w:cs="Calibri"/>
          <w:color w:val="000000"/>
          <w:bdr w:val="none" w:sz="0" w:space="0" w:color="auto" w:frame="1"/>
          <w:lang w:val="en-US" w:eastAsia="fr-FR"/>
        </w:rPr>
        <w:t>. T</w:t>
      </w:r>
      <w:r w:rsidR="00457EE6">
        <w:rPr>
          <w:rFonts w:ascii="Calibri" w:eastAsia="Times New Roman" w:hAnsi="Calibri" w:cs="Calibri"/>
          <w:color w:val="000000"/>
          <w:bdr w:val="none" w:sz="0" w:space="0" w:color="auto" w:frame="1"/>
          <w:lang w:val="en-US" w:eastAsia="fr-FR"/>
        </w:rPr>
        <w:t>hey</w:t>
      </w:r>
      <w:r>
        <w:rPr>
          <w:rFonts w:ascii="Calibri" w:eastAsia="Times New Roman" w:hAnsi="Calibri" w:cs="Calibri"/>
          <w:color w:val="000000"/>
          <w:bdr w:val="none" w:sz="0" w:space="0" w:color="auto" w:frame="1"/>
          <w:lang w:val="en-US" w:eastAsia="fr-FR"/>
        </w:rPr>
        <w:t xml:space="preserve"> noted that Ms. Mardini was subject to a re-entry ban, which prevent</w:t>
      </w:r>
      <w:r w:rsidR="003A486F">
        <w:rPr>
          <w:rFonts w:ascii="Calibri" w:eastAsia="Times New Roman" w:hAnsi="Calibri" w:cs="Calibri"/>
          <w:color w:val="000000"/>
          <w:bdr w:val="none" w:sz="0" w:space="0" w:color="auto" w:frame="1"/>
          <w:lang w:val="en-US" w:eastAsia="fr-FR"/>
        </w:rPr>
        <w:t>s</w:t>
      </w:r>
      <w:r>
        <w:rPr>
          <w:rFonts w:ascii="Calibri" w:eastAsia="Times New Roman" w:hAnsi="Calibri" w:cs="Calibri"/>
          <w:color w:val="000000"/>
          <w:bdr w:val="none" w:sz="0" w:space="0" w:color="auto" w:frame="1"/>
          <w:lang w:val="en-US" w:eastAsia="fr-FR"/>
        </w:rPr>
        <w:t xml:space="preserve"> her from entering Greece even to present herself for trial, and asked the authorities to explain how the ban was consistent with the right to a fair trial (</w:t>
      </w:r>
      <w:hyperlink r:id="rId8" w:history="1">
        <w:r w:rsidRPr="00B42E79">
          <w:rPr>
            <w:rStyle w:val="Hyperlink"/>
            <w:rFonts w:ascii="Calibri" w:eastAsia="Times New Roman" w:hAnsi="Calibri" w:cs="Calibri"/>
            <w:bdr w:val="none" w:sz="0" w:space="0" w:color="auto" w:frame="1"/>
            <w:lang w:val="en-US" w:eastAsia="fr-FR"/>
          </w:rPr>
          <w:t>AL GRC 4/2021</w:t>
        </w:r>
      </w:hyperlink>
      <w:r w:rsidR="00CE24A5">
        <w:rPr>
          <w:rStyle w:val="Hyperlink"/>
          <w:rFonts w:ascii="Calibri" w:eastAsia="Times New Roman" w:hAnsi="Calibri" w:cs="Calibri"/>
          <w:bdr w:val="none" w:sz="0" w:space="0" w:color="auto" w:frame="1"/>
          <w:lang w:val="en-US" w:eastAsia="fr-FR"/>
        </w:rPr>
        <w:t>,</w:t>
      </w:r>
      <w:r w:rsidR="003C6C08">
        <w:rPr>
          <w:rFonts w:ascii="Calibri" w:eastAsia="Times New Roman" w:hAnsi="Calibri" w:cs="Calibri"/>
          <w:color w:val="000000"/>
          <w:bdr w:val="none" w:sz="0" w:space="0" w:color="auto" w:frame="1"/>
          <w:lang w:val="en-US" w:eastAsia="fr-FR"/>
        </w:rPr>
        <w:t xml:space="preserve"> available at</w:t>
      </w:r>
      <w:r w:rsidR="00781994">
        <w:rPr>
          <w:rFonts w:ascii="Calibri" w:eastAsia="Times New Roman" w:hAnsi="Calibri" w:cs="Calibri"/>
          <w:color w:val="000000"/>
          <w:bdr w:val="none" w:sz="0" w:space="0" w:color="auto" w:frame="1"/>
          <w:lang w:val="en-US" w:eastAsia="fr-FR"/>
        </w:rPr>
        <w:t xml:space="preserve"> </w:t>
      </w:r>
      <w:hyperlink r:id="rId9" w:history="1">
        <w:r w:rsidR="00781994" w:rsidRPr="00781994">
          <w:rPr>
            <w:rStyle w:val="Hyperlink"/>
            <w:rFonts w:ascii="Calibri" w:eastAsia="Times New Roman" w:hAnsi="Calibri" w:cs="Calibri"/>
            <w:bdr w:val="none" w:sz="0" w:space="0" w:color="auto" w:frame="1"/>
            <w:lang w:val="en-US" w:eastAsia="fr-FR"/>
          </w:rPr>
          <w:t>https://spcommreports.ohchr.org/Tmsearch/TMDocuments</w:t>
        </w:r>
      </w:hyperlink>
      <w:r>
        <w:rPr>
          <w:rFonts w:ascii="Calibri" w:eastAsia="Times New Roman" w:hAnsi="Calibri" w:cs="Calibri"/>
          <w:color w:val="000000"/>
          <w:bdr w:val="none" w:sz="0" w:space="0" w:color="auto" w:frame="1"/>
          <w:lang w:val="en-US" w:eastAsia="fr-FR"/>
        </w:rPr>
        <w:t xml:space="preserve">). </w:t>
      </w:r>
    </w:p>
    <w:p w14:paraId="1558EFF1" w14:textId="09C15601" w:rsidR="00C46C2E" w:rsidRDefault="00C46C2E" w:rsidP="000419B4">
      <w:pPr>
        <w:spacing w:after="0" w:line="240" w:lineRule="auto"/>
        <w:jc w:val="both"/>
        <w:rPr>
          <w:rFonts w:ascii="Calibri" w:eastAsia="Times New Roman" w:hAnsi="Calibri" w:cs="Calibri"/>
          <w:color w:val="000000"/>
          <w:bdr w:val="none" w:sz="0" w:space="0" w:color="auto" w:frame="1"/>
          <w:lang w:val="en-US" w:eastAsia="fr-FR"/>
        </w:rPr>
      </w:pPr>
    </w:p>
    <w:p w14:paraId="590D1F2E" w14:textId="4BC379FD" w:rsidR="00C46C2E" w:rsidRDefault="00C46C2E" w:rsidP="00C46C2E">
      <w:pPr>
        <w:spacing w:after="0" w:line="240" w:lineRule="auto"/>
        <w:jc w:val="both"/>
        <w:rPr>
          <w:rFonts w:ascii="Calibri" w:eastAsia="Times New Roman" w:hAnsi="Calibri" w:cs="Calibri"/>
          <w:color w:val="000000"/>
          <w:bdr w:val="none" w:sz="0" w:space="0" w:color="auto" w:frame="1"/>
          <w:lang w:val="en-US" w:eastAsia="fr-FR"/>
        </w:rPr>
      </w:pPr>
      <w:r>
        <w:rPr>
          <w:rFonts w:ascii="Calibri" w:eastAsia="Times New Roman" w:hAnsi="Calibri" w:cs="Calibri"/>
          <w:color w:val="000000"/>
          <w:bdr w:val="none" w:sz="0" w:space="0" w:color="auto" w:frame="1"/>
          <w:lang w:val="en-US" w:eastAsia="fr-FR"/>
        </w:rPr>
        <w:t>In May 2021, two UN Special Procedures entered into a dialogue with Greece to express concerns regarding certain</w:t>
      </w:r>
      <w:r w:rsidRPr="00C46C2E">
        <w:rPr>
          <w:rFonts w:ascii="Calibri" w:eastAsia="Times New Roman" w:hAnsi="Calibri" w:cs="Calibri"/>
          <w:color w:val="000000"/>
          <w:bdr w:val="none" w:sz="0" w:space="0" w:color="auto" w:frame="1"/>
          <w:lang w:val="en-US" w:eastAsia="fr-FR"/>
        </w:rPr>
        <w:t xml:space="preserve"> provisions in</w:t>
      </w:r>
      <w:r>
        <w:rPr>
          <w:rFonts w:ascii="Calibri" w:eastAsia="Times New Roman" w:hAnsi="Calibri" w:cs="Calibri"/>
          <w:color w:val="000000"/>
          <w:bdr w:val="none" w:sz="0" w:space="0" w:color="auto" w:frame="1"/>
          <w:lang w:val="en-US" w:eastAsia="fr-FR"/>
        </w:rPr>
        <w:t xml:space="preserve"> </w:t>
      </w:r>
      <w:r w:rsidRPr="00C46C2E">
        <w:rPr>
          <w:rFonts w:ascii="Calibri" w:eastAsia="Times New Roman" w:hAnsi="Calibri" w:cs="Calibri"/>
          <w:color w:val="000000"/>
          <w:bdr w:val="none" w:sz="0" w:space="0" w:color="auto" w:frame="1"/>
          <w:lang w:val="en-US" w:eastAsia="fr-FR"/>
        </w:rPr>
        <w:t>the Draft Law of the Ministry of Justice on "'Reforms relating to parent-child</w:t>
      </w:r>
      <w:r>
        <w:rPr>
          <w:rFonts w:ascii="Calibri" w:eastAsia="Times New Roman" w:hAnsi="Calibri" w:cs="Calibri"/>
          <w:color w:val="000000"/>
          <w:bdr w:val="none" w:sz="0" w:space="0" w:color="auto" w:frame="1"/>
          <w:lang w:val="en-US" w:eastAsia="fr-FR"/>
        </w:rPr>
        <w:t xml:space="preserve"> </w:t>
      </w:r>
      <w:r w:rsidRPr="00C46C2E">
        <w:rPr>
          <w:rFonts w:ascii="Calibri" w:eastAsia="Times New Roman" w:hAnsi="Calibri" w:cs="Calibri"/>
          <w:color w:val="000000"/>
          <w:bdr w:val="none" w:sz="0" w:space="0" w:color="auto" w:frame="1"/>
          <w:lang w:val="en-US" w:eastAsia="fr-FR"/>
        </w:rPr>
        <w:t xml:space="preserve">relationships </w:t>
      </w:r>
      <w:r>
        <w:rPr>
          <w:rFonts w:ascii="Calibri" w:eastAsia="Times New Roman" w:hAnsi="Calibri" w:cs="Calibri"/>
          <w:color w:val="000000"/>
          <w:bdr w:val="none" w:sz="0" w:space="0" w:color="auto" w:frame="1"/>
          <w:lang w:val="en-US" w:eastAsia="fr-FR"/>
        </w:rPr>
        <w:t xml:space="preserve">and other matters of family law” (amending the Greek Civil </w:t>
      </w:r>
      <w:r w:rsidRPr="00C46C2E">
        <w:rPr>
          <w:rFonts w:ascii="Calibri" w:eastAsia="Times New Roman" w:hAnsi="Calibri" w:cs="Calibri"/>
          <w:color w:val="000000"/>
          <w:bdr w:val="none" w:sz="0" w:space="0" w:color="auto" w:frame="1"/>
          <w:lang w:val="en-US" w:eastAsia="fr-FR"/>
        </w:rPr>
        <w:t>Code concerning child custody in case of a separation or divorce of</w:t>
      </w:r>
      <w:r>
        <w:rPr>
          <w:rFonts w:ascii="Calibri" w:eastAsia="Times New Roman" w:hAnsi="Calibri" w:cs="Calibri"/>
          <w:color w:val="000000"/>
          <w:bdr w:val="none" w:sz="0" w:space="0" w:color="auto" w:frame="1"/>
          <w:lang w:val="en-US" w:eastAsia="fr-FR"/>
        </w:rPr>
        <w:t xml:space="preserve"> </w:t>
      </w:r>
      <w:r w:rsidRPr="00C46C2E">
        <w:rPr>
          <w:rFonts w:ascii="Calibri" w:eastAsia="Times New Roman" w:hAnsi="Calibri" w:cs="Calibri"/>
          <w:color w:val="000000"/>
          <w:bdr w:val="none" w:sz="0" w:space="0" w:color="auto" w:frame="1"/>
          <w:lang w:val="en-US" w:eastAsia="fr-FR"/>
        </w:rPr>
        <w:t>the parents</w:t>
      </w:r>
      <w:r>
        <w:rPr>
          <w:rFonts w:ascii="Calibri" w:eastAsia="Times New Roman" w:hAnsi="Calibri" w:cs="Calibri"/>
          <w:color w:val="000000"/>
          <w:bdr w:val="none" w:sz="0" w:space="0" w:color="auto" w:frame="1"/>
          <w:lang w:val="en-US" w:eastAsia="fr-FR"/>
        </w:rPr>
        <w:t xml:space="preserve">), which could </w:t>
      </w:r>
      <w:r w:rsidRPr="00C46C2E">
        <w:rPr>
          <w:rFonts w:ascii="Calibri" w:eastAsia="Times New Roman" w:hAnsi="Calibri" w:cs="Calibri"/>
          <w:color w:val="000000"/>
          <w:bdr w:val="none" w:sz="0" w:space="0" w:color="auto" w:frame="1"/>
          <w:lang w:val="en-US" w:eastAsia="fr-FR"/>
        </w:rPr>
        <w:t>facilitate the exposure to heightened risks for victims of domestic violence in the</w:t>
      </w:r>
      <w:r>
        <w:rPr>
          <w:rFonts w:ascii="Calibri" w:eastAsia="Times New Roman" w:hAnsi="Calibri" w:cs="Calibri"/>
          <w:color w:val="000000"/>
          <w:bdr w:val="none" w:sz="0" w:space="0" w:color="auto" w:frame="1"/>
          <w:lang w:val="en-US" w:eastAsia="fr-FR"/>
        </w:rPr>
        <w:t xml:space="preserve"> </w:t>
      </w:r>
      <w:r w:rsidRPr="00C46C2E">
        <w:rPr>
          <w:rFonts w:ascii="Calibri" w:eastAsia="Times New Roman" w:hAnsi="Calibri" w:cs="Calibri"/>
          <w:color w:val="000000"/>
          <w:bdr w:val="none" w:sz="0" w:space="0" w:color="auto" w:frame="1"/>
          <w:lang w:val="en-US" w:eastAsia="fr-FR"/>
        </w:rPr>
        <w:t>context of shared custody</w:t>
      </w:r>
      <w:r>
        <w:rPr>
          <w:rFonts w:ascii="Calibri" w:eastAsia="Times New Roman" w:hAnsi="Calibri" w:cs="Calibri"/>
          <w:color w:val="000000"/>
          <w:bdr w:val="none" w:sz="0" w:space="0" w:color="auto" w:frame="1"/>
          <w:lang w:val="en-US" w:eastAsia="fr-FR"/>
        </w:rPr>
        <w:t xml:space="preserve">. They noted that the Bill would redefine the “best interests of the child” and presume equal shared custody in cases of separation or divorce, with any exception requiring a potentially lengthy court process and potential exposure of women and children to gender-based discrimination </w:t>
      </w:r>
      <w:r w:rsidR="00765CCF">
        <w:rPr>
          <w:rFonts w:ascii="Calibri" w:eastAsia="Times New Roman" w:hAnsi="Calibri" w:cs="Calibri"/>
          <w:color w:val="000000"/>
          <w:bdr w:val="none" w:sz="0" w:space="0" w:color="auto" w:frame="1"/>
          <w:lang w:val="en-US" w:eastAsia="fr-FR"/>
        </w:rPr>
        <w:t>in judicial procedures (</w:t>
      </w:r>
      <w:hyperlink r:id="rId10" w:history="1">
        <w:r w:rsidR="00765CCF" w:rsidRPr="00765CCF">
          <w:rPr>
            <w:rStyle w:val="Hyperlink"/>
            <w:rFonts w:ascii="Calibri" w:eastAsia="Times New Roman" w:hAnsi="Calibri" w:cs="Calibri"/>
            <w:bdr w:val="none" w:sz="0" w:space="0" w:color="auto" w:frame="1"/>
            <w:lang w:val="en-US" w:eastAsia="fr-FR"/>
          </w:rPr>
          <w:t>OL GRC 2/2021</w:t>
        </w:r>
      </w:hyperlink>
      <w:r w:rsidR="00CE24A5">
        <w:rPr>
          <w:rStyle w:val="Hyperlink"/>
          <w:rFonts w:ascii="Calibri" w:eastAsia="Times New Roman" w:hAnsi="Calibri" w:cs="Calibri"/>
          <w:bdr w:val="none" w:sz="0" w:space="0" w:color="auto" w:frame="1"/>
          <w:lang w:val="en-US" w:eastAsia="fr-FR"/>
        </w:rPr>
        <w:t>,</w:t>
      </w:r>
      <w:r w:rsidR="003C6C08">
        <w:rPr>
          <w:rFonts w:ascii="Calibri" w:eastAsia="Times New Roman" w:hAnsi="Calibri" w:cs="Calibri"/>
          <w:color w:val="000000"/>
          <w:bdr w:val="none" w:sz="0" w:space="0" w:color="auto" w:frame="1"/>
          <w:lang w:val="en-US" w:eastAsia="fr-FR"/>
        </w:rPr>
        <w:t xml:space="preserve"> available at</w:t>
      </w:r>
      <w:r w:rsidR="00781994">
        <w:rPr>
          <w:rFonts w:ascii="Calibri" w:eastAsia="Times New Roman" w:hAnsi="Calibri" w:cs="Calibri"/>
          <w:color w:val="000000"/>
          <w:bdr w:val="none" w:sz="0" w:space="0" w:color="auto" w:frame="1"/>
          <w:lang w:val="en-US" w:eastAsia="fr-FR"/>
        </w:rPr>
        <w:t xml:space="preserve"> </w:t>
      </w:r>
      <w:hyperlink r:id="rId11" w:history="1">
        <w:r w:rsidR="0031502D" w:rsidRPr="0031502D">
          <w:rPr>
            <w:rStyle w:val="Hyperlink"/>
            <w:rFonts w:ascii="Calibri" w:eastAsia="Times New Roman" w:hAnsi="Calibri" w:cs="Calibri"/>
            <w:bdr w:val="none" w:sz="0" w:space="0" w:color="auto" w:frame="1"/>
            <w:lang w:val="en-US" w:eastAsia="fr-FR"/>
          </w:rPr>
          <w:t>https://spcommreports.ohchr.org/Tmsearch/TMDocuments</w:t>
        </w:r>
      </w:hyperlink>
      <w:r w:rsidR="0031502D">
        <w:rPr>
          <w:rFonts w:ascii="Calibri" w:eastAsia="Times New Roman" w:hAnsi="Calibri" w:cs="Calibri"/>
          <w:color w:val="000000"/>
          <w:bdr w:val="none" w:sz="0" w:space="0" w:color="auto" w:frame="1"/>
          <w:lang w:val="en-US" w:eastAsia="fr-FR"/>
        </w:rPr>
        <w:t>).</w:t>
      </w:r>
    </w:p>
    <w:p w14:paraId="2B4B89E3" w14:textId="7413979E" w:rsidR="0094271B" w:rsidRDefault="0094271B" w:rsidP="00C46C2E">
      <w:pPr>
        <w:spacing w:after="0" w:line="240" w:lineRule="auto"/>
        <w:jc w:val="both"/>
        <w:rPr>
          <w:rFonts w:ascii="Calibri" w:eastAsia="Times New Roman" w:hAnsi="Calibri" w:cs="Calibri"/>
          <w:color w:val="000000"/>
          <w:bdr w:val="none" w:sz="0" w:space="0" w:color="auto" w:frame="1"/>
          <w:lang w:val="en-US" w:eastAsia="fr-FR"/>
        </w:rPr>
      </w:pPr>
    </w:p>
    <w:p w14:paraId="5D3E98F8" w14:textId="347B7AE6" w:rsidR="000419B4" w:rsidRDefault="0094271B" w:rsidP="00781994">
      <w:pPr>
        <w:spacing w:after="0" w:line="240" w:lineRule="auto"/>
        <w:jc w:val="both"/>
        <w:rPr>
          <w:rFonts w:ascii="Calibri" w:eastAsia="Times New Roman" w:hAnsi="Calibri" w:cs="Calibri"/>
          <w:color w:val="000000"/>
          <w:bdr w:val="none" w:sz="0" w:space="0" w:color="auto" w:frame="1"/>
          <w:lang w:val="en-US" w:eastAsia="fr-FR"/>
        </w:rPr>
      </w:pPr>
      <w:r>
        <w:rPr>
          <w:rFonts w:ascii="Calibri" w:eastAsia="Times New Roman" w:hAnsi="Calibri" w:cs="Calibri"/>
          <w:color w:val="000000"/>
          <w:bdr w:val="none" w:sz="0" w:space="0" w:color="auto" w:frame="1"/>
          <w:lang w:val="en-US" w:eastAsia="fr-FR"/>
        </w:rPr>
        <w:t xml:space="preserve">In his report of May 2021 on means to address the human rights impact of pushbacks of migrants on land and at sea, the UN Special Rapporteur on the human rights of migrants referred to numerous submissions raising concerns about Greece’s border governance at its borders with Turkey. He noted </w:t>
      </w:r>
      <w:r w:rsidR="00125B5D">
        <w:rPr>
          <w:rFonts w:ascii="Calibri" w:eastAsia="Times New Roman" w:hAnsi="Calibri" w:cs="Calibri"/>
          <w:color w:val="000000"/>
          <w:bdr w:val="none" w:sz="0" w:space="0" w:color="auto" w:frame="1"/>
          <w:lang w:val="en-US" w:eastAsia="fr-FR"/>
        </w:rPr>
        <w:t xml:space="preserve">allegations regarding </w:t>
      </w:r>
      <w:r>
        <w:rPr>
          <w:rFonts w:ascii="Calibri" w:eastAsia="Times New Roman" w:hAnsi="Calibri" w:cs="Calibri"/>
          <w:color w:val="000000"/>
          <w:bdr w:val="none" w:sz="0" w:space="0" w:color="auto" w:frame="1"/>
          <w:lang w:val="en-US" w:eastAsia="fr-FR"/>
        </w:rPr>
        <w:t xml:space="preserve">the prevention of entry and summary and collective expulsion </w:t>
      </w:r>
      <w:r w:rsidR="00125B5D">
        <w:rPr>
          <w:rFonts w:ascii="Calibri" w:eastAsia="Times New Roman" w:hAnsi="Calibri" w:cs="Calibri"/>
          <w:color w:val="000000"/>
          <w:bdr w:val="none" w:sz="0" w:space="0" w:color="auto" w:frame="1"/>
          <w:lang w:val="en-US" w:eastAsia="fr-FR"/>
        </w:rPr>
        <w:t xml:space="preserve">of tens of thousands of migrants and asylum seekers in Evros, as well as </w:t>
      </w:r>
      <w:r>
        <w:rPr>
          <w:rFonts w:ascii="Calibri" w:eastAsia="Times New Roman" w:hAnsi="Calibri" w:cs="Calibri"/>
          <w:color w:val="000000"/>
          <w:bdr w:val="none" w:sz="0" w:space="0" w:color="auto" w:frame="1"/>
          <w:lang w:val="en-US" w:eastAsia="fr-FR"/>
        </w:rPr>
        <w:t xml:space="preserve">pushbacks over the land border </w:t>
      </w:r>
      <w:r w:rsidR="00125B5D">
        <w:rPr>
          <w:rFonts w:ascii="Calibri" w:eastAsia="Times New Roman" w:hAnsi="Calibri" w:cs="Calibri"/>
          <w:color w:val="000000"/>
          <w:bdr w:val="none" w:sz="0" w:space="0" w:color="auto" w:frame="1"/>
          <w:lang w:val="en-US" w:eastAsia="fr-FR"/>
        </w:rPr>
        <w:t xml:space="preserve">from </w:t>
      </w:r>
      <w:r>
        <w:rPr>
          <w:rFonts w:ascii="Calibri" w:eastAsia="Times New Roman" w:hAnsi="Calibri" w:cs="Calibri"/>
          <w:color w:val="000000"/>
          <w:bdr w:val="none" w:sz="0" w:space="0" w:color="auto" w:frame="1"/>
          <w:lang w:val="en-US" w:eastAsia="fr-FR"/>
        </w:rPr>
        <w:t xml:space="preserve">urban areas, </w:t>
      </w:r>
      <w:r w:rsidR="00125B5D">
        <w:rPr>
          <w:rFonts w:ascii="Calibri" w:eastAsia="Times New Roman" w:hAnsi="Calibri" w:cs="Calibri"/>
          <w:color w:val="000000"/>
          <w:bdr w:val="none" w:sz="0" w:space="0" w:color="auto" w:frame="1"/>
          <w:lang w:val="en-US" w:eastAsia="fr-FR"/>
        </w:rPr>
        <w:t xml:space="preserve">including reception and detention </w:t>
      </w:r>
      <w:r w:rsidR="001A5C25">
        <w:rPr>
          <w:rFonts w:ascii="Calibri" w:eastAsia="Times New Roman" w:hAnsi="Calibri" w:cs="Calibri"/>
          <w:color w:val="000000"/>
          <w:bdr w:val="none" w:sz="0" w:space="0" w:color="auto" w:frame="1"/>
          <w:lang w:val="en-US" w:eastAsia="fr-FR"/>
        </w:rPr>
        <w:t>centers</w:t>
      </w:r>
      <w:r w:rsidR="00125B5D">
        <w:rPr>
          <w:rFonts w:ascii="Calibri" w:eastAsia="Times New Roman" w:hAnsi="Calibri" w:cs="Calibri"/>
          <w:color w:val="000000"/>
          <w:bdr w:val="none" w:sz="0" w:space="0" w:color="auto" w:frame="1"/>
          <w:lang w:val="en-US" w:eastAsia="fr-FR"/>
        </w:rPr>
        <w:t xml:space="preserve">. He recalled that Greek authorities suspended the admission of asylum seekers entering the country in the Evros land border region for 30 days in March 2020, on grounds of addressing </w:t>
      </w:r>
      <w:r w:rsidR="001A5C25">
        <w:rPr>
          <w:rFonts w:ascii="Calibri" w:eastAsia="Times New Roman" w:hAnsi="Calibri" w:cs="Calibri"/>
          <w:color w:val="000000"/>
          <w:bdr w:val="none" w:sz="0" w:space="0" w:color="auto" w:frame="1"/>
          <w:lang w:val="en-US" w:eastAsia="fr-FR"/>
        </w:rPr>
        <w:t>unprecedented</w:t>
      </w:r>
      <w:r w:rsidR="00125B5D">
        <w:rPr>
          <w:rFonts w:ascii="Calibri" w:eastAsia="Times New Roman" w:hAnsi="Calibri" w:cs="Calibri"/>
          <w:color w:val="000000"/>
          <w:bdr w:val="none" w:sz="0" w:space="0" w:color="auto" w:frame="1"/>
          <w:lang w:val="en-US" w:eastAsia="fr-FR"/>
        </w:rPr>
        <w:t xml:space="preserve"> migratory pressure, derogating from binding procedures in national law and international obligations (</w:t>
      </w:r>
      <w:hyperlink r:id="rId12" w:history="1">
        <w:r w:rsidR="00125B5D" w:rsidRPr="0031502D">
          <w:rPr>
            <w:rStyle w:val="Hyperlink"/>
            <w:rFonts w:ascii="Calibri" w:eastAsia="Times New Roman" w:hAnsi="Calibri" w:cs="Calibri"/>
            <w:bdr w:val="none" w:sz="0" w:space="0" w:color="auto" w:frame="1"/>
            <w:lang w:val="en-US" w:eastAsia="fr-FR"/>
          </w:rPr>
          <w:t>A/HRC/47/30</w:t>
        </w:r>
      </w:hyperlink>
      <w:r w:rsidR="00125B5D">
        <w:rPr>
          <w:rFonts w:ascii="Calibri" w:eastAsia="Times New Roman" w:hAnsi="Calibri" w:cs="Calibri"/>
          <w:color w:val="000000"/>
          <w:bdr w:val="none" w:sz="0" w:space="0" w:color="auto" w:frame="1"/>
          <w:lang w:val="en-US" w:eastAsia="fr-FR"/>
        </w:rPr>
        <w:t>, paras. 55, 78).</w:t>
      </w:r>
    </w:p>
    <w:p w14:paraId="041A4377" w14:textId="74F0758B" w:rsidR="00A04080" w:rsidRDefault="00A04080" w:rsidP="00FF5A3B">
      <w:pPr>
        <w:widowControl w:val="0"/>
        <w:tabs>
          <w:tab w:val="left" w:pos="1217"/>
        </w:tabs>
        <w:autoSpaceDE w:val="0"/>
        <w:autoSpaceDN w:val="0"/>
        <w:spacing w:before="121" w:after="0" w:line="240" w:lineRule="auto"/>
        <w:ind w:right="425"/>
        <w:rPr>
          <w:lang w:val="en-US"/>
        </w:rPr>
      </w:pPr>
      <w:r w:rsidRPr="00A04080">
        <w:rPr>
          <w:lang w:val="en-US"/>
        </w:rPr>
        <w:t>12.</w:t>
      </w:r>
      <w:r w:rsidR="0031502D">
        <w:rPr>
          <w:lang w:val="en-US"/>
        </w:rPr>
        <w:t xml:space="preserve"> </w:t>
      </w:r>
      <w:r w:rsidRPr="0031502D">
        <w:rPr>
          <w:i/>
          <w:lang w:val="en-US"/>
        </w:rPr>
        <w:t>Resources of the judiciary (human/financial/material)</w:t>
      </w:r>
    </w:p>
    <w:p w14:paraId="663EC294" w14:textId="7A928076" w:rsidR="00FF5A3B" w:rsidRPr="00A04080" w:rsidRDefault="00A04080" w:rsidP="00CE24A5">
      <w:pPr>
        <w:widowControl w:val="0"/>
        <w:tabs>
          <w:tab w:val="left" w:pos="1217"/>
        </w:tabs>
        <w:autoSpaceDE w:val="0"/>
        <w:autoSpaceDN w:val="0"/>
        <w:spacing w:before="121" w:after="0" w:line="240" w:lineRule="auto"/>
        <w:ind w:right="425"/>
        <w:jc w:val="both"/>
        <w:rPr>
          <w:lang w:val="en-US"/>
        </w:rPr>
      </w:pPr>
      <w:r w:rsidRPr="00A04080">
        <w:rPr>
          <w:lang w:val="en-US"/>
        </w:rPr>
        <w:t xml:space="preserve">In April 2021, the </w:t>
      </w:r>
      <w:r w:rsidR="00E97B09">
        <w:rPr>
          <w:lang w:val="en-US"/>
        </w:rPr>
        <w:t xml:space="preserve">UN </w:t>
      </w:r>
      <w:r w:rsidRPr="00A04080">
        <w:rPr>
          <w:lang w:val="en-US"/>
        </w:rPr>
        <w:t>Special Rapporteur on the independence of judges and lawyers in his report on “The coronavirus disease (COVID-19) pandemic: impact and challenges for independent justice” noted that access to justice and due process cannot be protected if the courts are not given the guarantees, combined with adequate funding and resources, needed to meet the new challenges. In Greece, the judicial system continued to rely on budgetary resources allocated prior to the pandemic, without any a</w:t>
      </w:r>
      <w:r w:rsidR="0031502D">
        <w:rPr>
          <w:lang w:val="en-US"/>
        </w:rPr>
        <w:t xml:space="preserve">dditional funds being approved </w:t>
      </w:r>
      <w:r w:rsidRPr="00A04080">
        <w:rPr>
          <w:lang w:val="en-US"/>
        </w:rPr>
        <w:t>(</w:t>
      </w:r>
      <w:hyperlink r:id="rId13" w:history="1">
        <w:r w:rsidRPr="00A04080">
          <w:rPr>
            <w:rStyle w:val="Hyperlink"/>
            <w:lang w:val="en-US"/>
          </w:rPr>
          <w:t>A/HRC/47/35</w:t>
        </w:r>
      </w:hyperlink>
      <w:r w:rsidRPr="00A04080">
        <w:rPr>
          <w:lang w:val="en-US"/>
        </w:rPr>
        <w:t>, para. 57)</w:t>
      </w:r>
      <w:r w:rsidR="0031502D">
        <w:rPr>
          <w:lang w:val="en-US"/>
        </w:rPr>
        <w:t>.</w:t>
      </w:r>
    </w:p>
    <w:p w14:paraId="07ADE332" w14:textId="77777777" w:rsidR="00A04080" w:rsidRPr="00FF5A3B" w:rsidRDefault="00A04080" w:rsidP="00FF5A3B">
      <w:pPr>
        <w:widowControl w:val="0"/>
        <w:tabs>
          <w:tab w:val="left" w:pos="1217"/>
        </w:tabs>
        <w:autoSpaceDE w:val="0"/>
        <w:autoSpaceDN w:val="0"/>
        <w:spacing w:before="121" w:after="0" w:line="240" w:lineRule="auto"/>
        <w:ind w:right="425"/>
        <w:rPr>
          <w:i/>
          <w:lang w:val="en-US"/>
        </w:rPr>
      </w:pPr>
    </w:p>
    <w:p w14:paraId="5CD1D694" w14:textId="73D9B284" w:rsidR="001B7CA2" w:rsidRPr="001B7CA2" w:rsidRDefault="001B7CA2" w:rsidP="001B7CA2">
      <w:pPr>
        <w:rPr>
          <w:lang w:val="en-GB"/>
        </w:rPr>
      </w:pPr>
      <w:r w:rsidRPr="001B7CA2">
        <w:rPr>
          <w:b/>
          <w:bCs/>
          <w:i/>
          <w:iCs/>
          <w:lang w:val="en-GB"/>
        </w:rPr>
        <w:t xml:space="preserve">C. Efficiency of the justice system </w:t>
      </w:r>
    </w:p>
    <w:p w14:paraId="22318488" w14:textId="72CBE57F" w:rsidR="001B7CA2" w:rsidRDefault="001B7CA2" w:rsidP="001B7CA2">
      <w:pPr>
        <w:rPr>
          <w:i/>
          <w:iCs/>
          <w:lang w:val="en-GB"/>
        </w:rPr>
      </w:pPr>
      <w:r w:rsidRPr="001B7CA2">
        <w:rPr>
          <w:i/>
          <w:iCs/>
          <w:lang w:val="en-GB"/>
        </w:rPr>
        <w:t xml:space="preserve">17. Length of proceedings </w:t>
      </w:r>
    </w:p>
    <w:p w14:paraId="171EC9B5" w14:textId="26AAF987" w:rsidR="00781994" w:rsidRDefault="00A14A9C" w:rsidP="00781994">
      <w:pPr>
        <w:jc w:val="both"/>
        <w:rPr>
          <w:rFonts w:cstheme="minorHAnsi"/>
          <w:iCs/>
          <w:lang w:val="en-GB"/>
        </w:rPr>
      </w:pPr>
      <w:r>
        <w:rPr>
          <w:rFonts w:cstheme="minorHAnsi"/>
          <w:iCs/>
          <w:lang w:val="en-GB"/>
        </w:rPr>
        <w:t xml:space="preserve">In July 2021, three UN Special Procedures entered into a dialogue with Greece regarding the assassination of </w:t>
      </w:r>
      <w:r w:rsidR="007C0F61">
        <w:rPr>
          <w:rFonts w:cstheme="minorHAnsi"/>
          <w:iCs/>
          <w:lang w:val="en-GB"/>
        </w:rPr>
        <w:t>journalist</w:t>
      </w:r>
      <w:r>
        <w:rPr>
          <w:rFonts w:cstheme="minorHAnsi"/>
          <w:iCs/>
          <w:lang w:val="en-GB"/>
        </w:rPr>
        <w:t xml:space="preserve"> and human rights defender Mr. Giorgos Karaivaz on 9 April 2021. They noted </w:t>
      </w:r>
      <w:r>
        <w:rPr>
          <w:rFonts w:cstheme="minorHAnsi"/>
          <w:iCs/>
          <w:lang w:val="en-GB"/>
        </w:rPr>
        <w:lastRenderedPageBreak/>
        <w:t>that</w:t>
      </w:r>
      <w:r w:rsidR="00120C05">
        <w:rPr>
          <w:rFonts w:cstheme="minorHAnsi"/>
          <w:iCs/>
          <w:lang w:val="en-GB"/>
        </w:rPr>
        <w:t>,</w:t>
      </w:r>
      <w:r>
        <w:rPr>
          <w:rFonts w:cstheme="minorHAnsi"/>
          <w:iCs/>
          <w:lang w:val="en-GB"/>
        </w:rPr>
        <w:t xml:space="preserve"> before his murder, Mr. Karaivaz had reportedly expressed concern for his safety, although he did not report it to the police or ask for protection. They noted that efforts to identify the perpetrators were ongoing, with the police exploring whether the killing was linked to Mr. Karaivaz’s reporting on organized crime and its alleged ties with the Hellenic Police. They highlighted that no suspect had yet been identified, </w:t>
      </w:r>
      <w:r w:rsidR="00D24DDB">
        <w:rPr>
          <w:rFonts w:cstheme="minorHAnsi"/>
          <w:iCs/>
          <w:lang w:val="en-GB"/>
        </w:rPr>
        <w:t>and expressed concerns</w:t>
      </w:r>
      <w:r>
        <w:rPr>
          <w:rFonts w:cstheme="minorHAnsi"/>
          <w:iCs/>
          <w:lang w:val="en-GB"/>
        </w:rPr>
        <w:t xml:space="preserve"> over the slow progress of the investigation and prosecution (</w:t>
      </w:r>
      <w:hyperlink r:id="rId14" w:history="1">
        <w:r w:rsidRPr="00A14A9C">
          <w:rPr>
            <w:rStyle w:val="Hyperlink"/>
            <w:rFonts w:cstheme="minorHAnsi"/>
            <w:iCs/>
            <w:lang w:val="en-GB"/>
          </w:rPr>
          <w:t>AL GRC 3/2021</w:t>
        </w:r>
      </w:hyperlink>
      <w:r w:rsidR="00CE24A5">
        <w:rPr>
          <w:rStyle w:val="Hyperlink"/>
          <w:rFonts w:cstheme="minorHAnsi"/>
          <w:iCs/>
          <w:lang w:val="en-GB"/>
        </w:rPr>
        <w:t>,</w:t>
      </w:r>
      <w:r w:rsidR="003C6C08">
        <w:rPr>
          <w:rFonts w:cstheme="minorHAnsi"/>
          <w:iCs/>
          <w:lang w:val="en-GB"/>
        </w:rPr>
        <w:t xml:space="preserve"> available at</w:t>
      </w:r>
      <w:r w:rsidR="0031502D">
        <w:rPr>
          <w:rFonts w:cstheme="minorHAnsi"/>
          <w:iCs/>
          <w:lang w:val="en-GB"/>
        </w:rPr>
        <w:t xml:space="preserve"> </w:t>
      </w:r>
      <w:hyperlink r:id="rId15" w:history="1">
        <w:r w:rsidR="0031502D" w:rsidRPr="00781994">
          <w:rPr>
            <w:rStyle w:val="Hyperlink"/>
            <w:rFonts w:ascii="Calibri" w:eastAsia="Times New Roman" w:hAnsi="Calibri" w:cs="Calibri"/>
            <w:bdr w:val="none" w:sz="0" w:space="0" w:color="auto" w:frame="1"/>
            <w:lang w:val="en-US" w:eastAsia="fr-FR"/>
          </w:rPr>
          <w:t>https://spcommreports.ohchr.org/Tmsearch/TMDocuments</w:t>
        </w:r>
      </w:hyperlink>
      <w:r w:rsidR="0031502D">
        <w:rPr>
          <w:rStyle w:val="Hyperlink"/>
          <w:rFonts w:ascii="Calibri" w:eastAsia="Times New Roman" w:hAnsi="Calibri" w:cs="Calibri"/>
          <w:bdr w:val="none" w:sz="0" w:space="0" w:color="auto" w:frame="1"/>
          <w:lang w:val="en-US" w:eastAsia="fr-FR"/>
        </w:rPr>
        <w:t xml:space="preserve">). </w:t>
      </w:r>
      <w:r w:rsidR="00781994">
        <w:rPr>
          <w:rFonts w:cstheme="minorHAnsi"/>
          <w:iCs/>
          <w:lang w:val="en-GB"/>
        </w:rPr>
        <w:t xml:space="preserve"> </w:t>
      </w:r>
    </w:p>
    <w:p w14:paraId="278FC9B1" w14:textId="77777777" w:rsidR="006277C8" w:rsidRDefault="006277C8" w:rsidP="001B7CA2">
      <w:pPr>
        <w:rPr>
          <w:b/>
          <w:bCs/>
          <w:i/>
          <w:iCs/>
          <w:lang w:val="en-GB"/>
        </w:rPr>
      </w:pPr>
    </w:p>
    <w:p w14:paraId="2F09CC61" w14:textId="6761A1F9" w:rsidR="001B7CA2" w:rsidRPr="001B7CA2" w:rsidRDefault="001B7CA2" w:rsidP="001B7CA2">
      <w:pPr>
        <w:rPr>
          <w:lang w:val="en-GB"/>
        </w:rPr>
      </w:pPr>
      <w:r w:rsidRPr="001B7CA2">
        <w:rPr>
          <w:b/>
          <w:bCs/>
          <w:lang w:val="en-GB"/>
        </w:rPr>
        <w:t xml:space="preserve">III. Media pluralism </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16BEEF7E" w14:textId="290F59B6" w:rsidR="001B7CA2" w:rsidRDefault="001B7CA2" w:rsidP="001B7CA2">
      <w:pPr>
        <w:rPr>
          <w:i/>
          <w:iCs/>
          <w:lang w:val="en-GB"/>
        </w:rPr>
      </w:pPr>
      <w:r w:rsidRPr="001B7CA2">
        <w:rPr>
          <w:i/>
          <w:iCs/>
          <w:lang w:val="en-GB"/>
        </w:rPr>
        <w:t>3</w:t>
      </w:r>
      <w:r w:rsidR="0074007C">
        <w:rPr>
          <w:i/>
          <w:iCs/>
          <w:lang w:val="en-GB"/>
        </w:rPr>
        <w:t>6</w:t>
      </w:r>
      <w:r w:rsidRPr="001B7CA2">
        <w:rPr>
          <w:i/>
          <w:iCs/>
          <w:lang w:val="en-GB"/>
        </w:rPr>
        <w:t xml:space="preserve">. Law enforcement capacity to ensure journalists' safety and to investigate attacks on journalists </w:t>
      </w:r>
    </w:p>
    <w:p w14:paraId="4CF159FB" w14:textId="2D59D209" w:rsidR="00A346A7" w:rsidRPr="00A346A7" w:rsidRDefault="00A346A7" w:rsidP="00214E54">
      <w:pPr>
        <w:jc w:val="both"/>
        <w:rPr>
          <w:lang w:val="en-GB"/>
        </w:rPr>
      </w:pPr>
      <w:bookmarkStart w:id="0" w:name="_GoBack"/>
      <w:r>
        <w:rPr>
          <w:lang w:val="en-GB"/>
        </w:rPr>
        <w:t xml:space="preserve">On 16 July 2021, </w:t>
      </w:r>
      <w:r w:rsidR="00512F24">
        <w:rPr>
          <w:lang w:val="en-GB"/>
        </w:rPr>
        <w:t>three UN Special Procedures</w:t>
      </w:r>
      <w:r>
        <w:rPr>
          <w:lang w:val="en-GB"/>
        </w:rPr>
        <w:t xml:space="preserve"> entered in</w:t>
      </w:r>
      <w:r w:rsidR="00512F24">
        <w:rPr>
          <w:lang w:val="en-GB"/>
        </w:rPr>
        <w:t>to</w:t>
      </w:r>
      <w:r>
        <w:rPr>
          <w:lang w:val="en-GB"/>
        </w:rPr>
        <w:t xml:space="preserve"> a dialogue with Greece </w:t>
      </w:r>
      <w:r w:rsidR="00512F24">
        <w:rPr>
          <w:lang w:val="en-GB"/>
        </w:rPr>
        <w:t>regarding</w:t>
      </w:r>
      <w:r>
        <w:rPr>
          <w:lang w:val="en-GB"/>
        </w:rPr>
        <w:t xml:space="preserve"> the assassination of journalist and human rights defender Mr. Giorgos Karaivaz.</w:t>
      </w:r>
      <w:r w:rsidR="008215DF" w:rsidRPr="008215DF">
        <w:rPr>
          <w:lang w:val="en-GB"/>
        </w:rPr>
        <w:t xml:space="preserve"> </w:t>
      </w:r>
      <w:r w:rsidR="008215DF">
        <w:rPr>
          <w:lang w:val="en-GB"/>
        </w:rPr>
        <w:t xml:space="preserve">The mandate-holders expressed concern </w:t>
      </w:r>
      <w:r w:rsidR="00512F24">
        <w:rPr>
          <w:lang w:val="en-GB"/>
        </w:rPr>
        <w:t>about</w:t>
      </w:r>
      <w:r w:rsidR="008215DF">
        <w:rPr>
          <w:lang w:val="en-GB"/>
        </w:rPr>
        <w:t xml:space="preserve"> the reported slow progress of the investigation and prosecution of the perpetrators, which creates a vicious cycle of impunity. </w:t>
      </w:r>
      <w:r w:rsidR="008F0CB6">
        <w:rPr>
          <w:lang w:val="en-GB"/>
        </w:rPr>
        <w:t>They further expressed concerns a</w:t>
      </w:r>
      <w:r w:rsidR="00512F24">
        <w:rPr>
          <w:lang w:val="en-GB"/>
        </w:rPr>
        <w:t>bout</w:t>
      </w:r>
      <w:r w:rsidR="008F0CB6">
        <w:rPr>
          <w:lang w:val="en-GB"/>
        </w:rPr>
        <w:t xml:space="preserve"> the chilling effect that such a killing may have on other journalists in the country</w:t>
      </w:r>
      <w:r w:rsidR="00512F24">
        <w:rPr>
          <w:lang w:val="en-GB"/>
        </w:rPr>
        <w:t>,</w:t>
      </w:r>
      <w:r w:rsidR="008F0CB6">
        <w:rPr>
          <w:lang w:val="en-GB"/>
        </w:rPr>
        <w:t xml:space="preserve"> and </w:t>
      </w:r>
      <w:r w:rsidR="00512F24">
        <w:rPr>
          <w:lang w:val="en-GB"/>
        </w:rPr>
        <w:t xml:space="preserve">more generally on </w:t>
      </w:r>
      <w:r w:rsidR="008F0CB6">
        <w:rPr>
          <w:lang w:val="en-GB"/>
        </w:rPr>
        <w:t xml:space="preserve">the role of press in a democratic society.  </w:t>
      </w:r>
      <w:r w:rsidR="008215DF">
        <w:rPr>
          <w:lang w:val="en-GB"/>
        </w:rPr>
        <w:t xml:space="preserve">They </w:t>
      </w:r>
      <w:r w:rsidR="00512F24">
        <w:rPr>
          <w:lang w:val="en-GB"/>
        </w:rPr>
        <w:t>requested that Greece provide detailed information concerning measures taken</w:t>
      </w:r>
      <w:r w:rsidR="008215DF">
        <w:rPr>
          <w:lang w:val="en-GB"/>
        </w:rPr>
        <w:t xml:space="preserve"> to ensure that huma</w:t>
      </w:r>
      <w:r w:rsidR="008F0CB6">
        <w:rPr>
          <w:lang w:val="en-GB"/>
        </w:rPr>
        <w:t>n</w:t>
      </w:r>
      <w:r w:rsidR="008215DF">
        <w:rPr>
          <w:lang w:val="en-GB"/>
        </w:rPr>
        <w:t xml:space="preserve"> rights defenders, journalists and media workers can exercise their freedom of express</w:t>
      </w:r>
      <w:r w:rsidR="00781994">
        <w:rPr>
          <w:lang w:val="en-GB"/>
        </w:rPr>
        <w:t xml:space="preserve">ion without fear of retaliation </w:t>
      </w:r>
      <w:r w:rsidR="008215DF">
        <w:rPr>
          <w:lang w:val="en-GB"/>
        </w:rPr>
        <w:t>(</w:t>
      </w:r>
      <w:hyperlink r:id="rId16" w:history="1">
        <w:r w:rsidR="008215DF" w:rsidRPr="008215DF">
          <w:rPr>
            <w:rStyle w:val="Hyperlink"/>
            <w:lang w:val="en-GB"/>
          </w:rPr>
          <w:t>AL GRC 3/2021</w:t>
        </w:r>
      </w:hyperlink>
      <w:r w:rsidR="00432070">
        <w:rPr>
          <w:lang w:val="en-GB"/>
        </w:rPr>
        <w:t xml:space="preserve">, available at </w:t>
      </w:r>
      <w:hyperlink r:id="rId17" w:history="1">
        <w:r w:rsidR="009B6FBA" w:rsidRPr="00472BA4">
          <w:rPr>
            <w:rStyle w:val="Hyperlink"/>
            <w:lang w:val="en-GB"/>
          </w:rPr>
          <w:t>https://spcommreports.ohchr.org/TmSearch/Results</w:t>
        </w:r>
      </w:hyperlink>
      <w:r w:rsidR="009B6FBA">
        <w:rPr>
          <w:lang w:val="en-GB"/>
        </w:rPr>
        <w:t>)</w:t>
      </w:r>
      <w:r w:rsidR="0031502D">
        <w:rPr>
          <w:lang w:val="en-GB"/>
        </w:rPr>
        <w:t>.</w:t>
      </w:r>
      <w:r w:rsidR="009B6FBA">
        <w:rPr>
          <w:lang w:val="en-GB"/>
        </w:rPr>
        <w:t xml:space="preserve"> </w:t>
      </w:r>
    </w:p>
    <w:bookmarkEnd w:id="0"/>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2589092B" w:rsidR="001B7CA2" w:rsidRDefault="001B7CA2" w:rsidP="001B7CA2">
      <w:pPr>
        <w:rPr>
          <w:i/>
          <w:iCs/>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15318C7E" w14:textId="0E40758C" w:rsidR="00D743B4" w:rsidRDefault="00D743B4" w:rsidP="00214E54">
      <w:pPr>
        <w:jc w:val="both"/>
        <w:rPr>
          <w:rFonts w:ascii="Calibri" w:eastAsia="Times New Roman" w:hAnsi="Calibri" w:cs="Calibri"/>
          <w:color w:val="000000"/>
          <w:bdr w:val="none" w:sz="0" w:space="0" w:color="auto" w:frame="1"/>
          <w:lang w:val="en-US" w:eastAsia="fr-FR"/>
        </w:rPr>
      </w:pPr>
      <w:r w:rsidRPr="001868C7">
        <w:rPr>
          <w:rFonts w:ascii="Calibri" w:eastAsia="Times New Roman" w:hAnsi="Calibri" w:cs="Calibri"/>
          <w:color w:val="000000"/>
          <w:bdr w:val="none" w:sz="0" w:space="0" w:color="auto" w:frame="1"/>
          <w:lang w:val="en-US" w:eastAsia="fr-FR"/>
        </w:rPr>
        <w:t xml:space="preserve">On 31 March 2021, </w:t>
      </w:r>
      <w:r w:rsidR="00B7754F">
        <w:rPr>
          <w:rFonts w:ascii="Calibri" w:eastAsia="Times New Roman" w:hAnsi="Calibri" w:cs="Calibri"/>
          <w:color w:val="000000"/>
          <w:bdr w:val="none" w:sz="0" w:space="0" w:color="auto" w:frame="1"/>
          <w:lang w:val="en-US" w:eastAsia="fr-FR"/>
        </w:rPr>
        <w:t>three UN Special Procedures</w:t>
      </w:r>
      <w:r w:rsidRPr="001868C7">
        <w:rPr>
          <w:rFonts w:ascii="Calibri" w:eastAsia="Times New Roman" w:hAnsi="Calibri" w:cs="Calibri"/>
          <w:color w:val="000000"/>
          <w:bdr w:val="none" w:sz="0" w:space="0" w:color="auto" w:frame="1"/>
          <w:lang w:val="en-US" w:eastAsia="fr-FR"/>
        </w:rPr>
        <w:t xml:space="preserve"> entered into a dialogue with Greece </w:t>
      </w:r>
      <w:r w:rsidR="00B7754F">
        <w:rPr>
          <w:rFonts w:ascii="Calibri" w:eastAsia="Times New Roman" w:hAnsi="Calibri" w:cs="Calibri"/>
          <w:color w:val="000000"/>
          <w:bdr w:val="none" w:sz="0" w:space="0" w:color="auto" w:frame="1"/>
          <w:lang w:val="en-US" w:eastAsia="fr-FR"/>
        </w:rPr>
        <w:t xml:space="preserve">expressing concerns </w:t>
      </w:r>
      <w:r w:rsidRPr="001868C7">
        <w:rPr>
          <w:rFonts w:ascii="Calibri" w:eastAsia="Times New Roman" w:hAnsi="Calibri" w:cs="Calibri"/>
          <w:color w:val="000000"/>
          <w:bdr w:val="none" w:sz="0" w:space="0" w:color="auto" w:frame="1"/>
          <w:lang w:val="en-US" w:eastAsia="fr-FR"/>
        </w:rPr>
        <w:t xml:space="preserve">about </w:t>
      </w:r>
      <w:r w:rsidR="00B7754F">
        <w:rPr>
          <w:rFonts w:ascii="Calibri" w:eastAsia="Times New Roman" w:hAnsi="Calibri" w:cs="Calibri"/>
          <w:color w:val="000000"/>
          <w:bdr w:val="none" w:sz="0" w:space="0" w:color="auto" w:frame="1"/>
          <w:lang w:val="en-US" w:eastAsia="fr-FR"/>
        </w:rPr>
        <w:t>the recently adopted Law 4686/2020 and Joint Ministerial Decision 10616/2020, which introduced new onerous legal requirements and conditions for registrations of NGOs that work with migrants and refugees, which might severely hamper the work of independent NGOs, especially smaller organizations that do not have the financial means to comply with all the reporting requirements</w:t>
      </w:r>
      <w:r w:rsidRPr="001868C7">
        <w:rPr>
          <w:rFonts w:ascii="Calibri" w:eastAsia="Times New Roman" w:hAnsi="Calibri" w:cs="Calibri"/>
          <w:color w:val="000000"/>
          <w:bdr w:val="none" w:sz="0" w:space="0" w:color="auto" w:frame="1"/>
          <w:lang w:val="en-US" w:eastAsia="fr-FR"/>
        </w:rPr>
        <w:t xml:space="preserve">. The </w:t>
      </w:r>
      <w:r w:rsidR="00B7754F">
        <w:rPr>
          <w:rFonts w:ascii="Calibri" w:eastAsia="Times New Roman" w:hAnsi="Calibri" w:cs="Calibri"/>
          <w:color w:val="000000"/>
          <w:bdr w:val="none" w:sz="0" w:space="0" w:color="auto" w:frame="1"/>
          <w:lang w:val="en-US" w:eastAsia="fr-FR"/>
        </w:rPr>
        <w:t>Special Procedures furthermore noted</w:t>
      </w:r>
      <w:r w:rsidRPr="001868C7">
        <w:rPr>
          <w:rFonts w:ascii="Calibri" w:eastAsia="Times New Roman" w:hAnsi="Calibri" w:cs="Calibri"/>
          <w:color w:val="000000"/>
          <w:bdr w:val="none" w:sz="0" w:space="0" w:color="auto" w:frame="1"/>
          <w:lang w:val="en-US" w:eastAsia="fr-FR"/>
        </w:rPr>
        <w:t xml:space="preserve"> that </w:t>
      </w:r>
      <w:r w:rsidR="00B7754F">
        <w:rPr>
          <w:rFonts w:ascii="Calibri" w:eastAsia="Times New Roman" w:hAnsi="Calibri" w:cs="Calibri"/>
          <w:color w:val="000000"/>
          <w:bdr w:val="none" w:sz="0" w:space="0" w:color="auto" w:frame="1"/>
          <w:lang w:val="en-US" w:eastAsia="fr-FR"/>
        </w:rPr>
        <w:t xml:space="preserve">Greece had made different attempts to create a register for NGOs since 2016, but many NGOs regularly voiced concerns that they could not register successfully, and that </w:t>
      </w:r>
      <w:r w:rsidRPr="001868C7">
        <w:rPr>
          <w:rFonts w:ascii="Calibri" w:eastAsia="Times New Roman" w:hAnsi="Calibri" w:cs="Calibri"/>
          <w:color w:val="000000"/>
          <w:bdr w:val="none" w:sz="0" w:space="0" w:color="auto" w:frame="1"/>
          <w:lang w:val="en-US" w:eastAsia="fr-FR"/>
        </w:rPr>
        <w:t>the legal requirements for NGOs working with migra</w:t>
      </w:r>
      <w:r w:rsidR="00FF310E">
        <w:rPr>
          <w:rFonts w:ascii="Calibri" w:eastAsia="Times New Roman" w:hAnsi="Calibri" w:cs="Calibri"/>
          <w:color w:val="000000"/>
          <w:bdr w:val="none" w:sz="0" w:space="0" w:color="auto" w:frame="1"/>
          <w:lang w:val="en-US" w:eastAsia="fr-FR"/>
        </w:rPr>
        <w:t>n</w:t>
      </w:r>
      <w:r w:rsidRPr="001868C7">
        <w:rPr>
          <w:rFonts w:ascii="Calibri" w:eastAsia="Times New Roman" w:hAnsi="Calibri" w:cs="Calibri"/>
          <w:color w:val="000000"/>
          <w:bdr w:val="none" w:sz="0" w:space="0" w:color="auto" w:frame="1"/>
          <w:lang w:val="en-US" w:eastAsia="fr-FR"/>
        </w:rPr>
        <w:t>t</w:t>
      </w:r>
      <w:r w:rsidR="00FF310E">
        <w:rPr>
          <w:rFonts w:ascii="Calibri" w:eastAsia="Times New Roman" w:hAnsi="Calibri" w:cs="Calibri"/>
          <w:color w:val="000000"/>
          <w:bdr w:val="none" w:sz="0" w:space="0" w:color="auto" w:frame="1"/>
          <w:lang w:val="en-US" w:eastAsia="fr-FR"/>
        </w:rPr>
        <w:t>s</w:t>
      </w:r>
      <w:r w:rsidRPr="001868C7">
        <w:rPr>
          <w:rFonts w:ascii="Calibri" w:eastAsia="Times New Roman" w:hAnsi="Calibri" w:cs="Calibri"/>
          <w:color w:val="000000"/>
          <w:bdr w:val="none" w:sz="0" w:space="0" w:color="auto" w:frame="1"/>
          <w:lang w:val="en-US" w:eastAsia="fr-FR"/>
        </w:rPr>
        <w:t xml:space="preserve"> </w:t>
      </w:r>
      <w:r w:rsidR="00B7754F">
        <w:rPr>
          <w:rFonts w:ascii="Calibri" w:eastAsia="Times New Roman" w:hAnsi="Calibri" w:cs="Calibri"/>
          <w:color w:val="000000"/>
          <w:bdr w:val="none" w:sz="0" w:space="0" w:color="auto" w:frame="1"/>
          <w:lang w:val="en-US" w:eastAsia="fr-FR"/>
        </w:rPr>
        <w:t>had</w:t>
      </w:r>
      <w:r w:rsidRPr="001868C7">
        <w:rPr>
          <w:rFonts w:ascii="Calibri" w:eastAsia="Times New Roman" w:hAnsi="Calibri" w:cs="Calibri"/>
          <w:color w:val="000000"/>
          <w:bdr w:val="none" w:sz="0" w:space="0" w:color="auto" w:frame="1"/>
          <w:lang w:val="en-US" w:eastAsia="fr-FR"/>
        </w:rPr>
        <w:t xml:space="preserve"> change</w:t>
      </w:r>
      <w:r w:rsidR="00B7754F">
        <w:rPr>
          <w:rFonts w:ascii="Calibri" w:eastAsia="Times New Roman" w:hAnsi="Calibri" w:cs="Calibri"/>
          <w:color w:val="000000"/>
          <w:bdr w:val="none" w:sz="0" w:space="0" w:color="auto" w:frame="1"/>
          <w:lang w:val="en-US" w:eastAsia="fr-FR"/>
        </w:rPr>
        <w:t>d</w:t>
      </w:r>
      <w:r w:rsidRPr="001868C7">
        <w:rPr>
          <w:rFonts w:ascii="Calibri" w:eastAsia="Times New Roman" w:hAnsi="Calibri" w:cs="Calibri"/>
          <w:color w:val="000000"/>
          <w:bdr w:val="none" w:sz="0" w:space="0" w:color="auto" w:frame="1"/>
          <w:lang w:val="en-US" w:eastAsia="fr-FR"/>
        </w:rPr>
        <w:t xml:space="preserve"> four times since November 2019</w:t>
      </w:r>
      <w:r w:rsidR="00611DF2">
        <w:rPr>
          <w:rFonts w:ascii="Calibri" w:eastAsia="Times New Roman" w:hAnsi="Calibri" w:cs="Calibri"/>
          <w:color w:val="000000"/>
          <w:bdr w:val="none" w:sz="0" w:space="0" w:color="auto" w:frame="1"/>
          <w:lang w:val="en-US" w:eastAsia="fr-FR"/>
        </w:rPr>
        <w:t>. They noted that Law 4686/2020 was published on 12 May 2020, but Joint Ministerial Decision 10616/2020 was published only four months later, leaving many NGOs in legal uncertainty in-between. They</w:t>
      </w:r>
      <w:r w:rsidRPr="001868C7">
        <w:rPr>
          <w:rFonts w:ascii="Calibri" w:eastAsia="Times New Roman" w:hAnsi="Calibri" w:cs="Calibri"/>
          <w:color w:val="000000"/>
          <w:bdr w:val="none" w:sz="0" w:space="0" w:color="auto" w:frame="1"/>
          <w:lang w:val="en-US" w:eastAsia="fr-FR"/>
        </w:rPr>
        <w:t xml:space="preserve"> </w:t>
      </w:r>
      <w:r w:rsidR="002126E6">
        <w:rPr>
          <w:rFonts w:ascii="Calibri" w:eastAsia="Times New Roman" w:hAnsi="Calibri" w:cs="Calibri"/>
          <w:color w:val="000000"/>
          <w:bdr w:val="none" w:sz="0" w:space="0" w:color="auto" w:frame="1"/>
          <w:lang w:val="en-US" w:eastAsia="fr-FR"/>
        </w:rPr>
        <w:t>indicated</w:t>
      </w:r>
      <w:r w:rsidRPr="001868C7">
        <w:rPr>
          <w:rFonts w:ascii="Calibri" w:eastAsia="Times New Roman" w:hAnsi="Calibri" w:cs="Calibri"/>
          <w:color w:val="000000"/>
          <w:bdr w:val="none" w:sz="0" w:space="0" w:color="auto" w:frame="1"/>
          <w:lang w:val="en-US" w:eastAsia="fr-FR"/>
        </w:rPr>
        <w:t xml:space="preserve"> deep concern about the stringent and sometimes contradictory rules on registration of NGOs</w:t>
      </w:r>
      <w:r w:rsidR="00480F04">
        <w:rPr>
          <w:rFonts w:ascii="Calibri" w:eastAsia="Times New Roman" w:hAnsi="Calibri" w:cs="Calibri"/>
          <w:color w:val="000000"/>
          <w:bdr w:val="none" w:sz="0" w:space="0" w:color="auto" w:frame="1"/>
          <w:lang w:val="en-US" w:eastAsia="fr-FR"/>
        </w:rPr>
        <w:t>, including the de facto prohibition on registering new NGOs, financial barriers, intrusive submission requirements and far-reaching report</w:t>
      </w:r>
      <w:r w:rsidR="00DC6FDF">
        <w:rPr>
          <w:rFonts w:ascii="Calibri" w:eastAsia="Times New Roman" w:hAnsi="Calibri" w:cs="Calibri"/>
          <w:color w:val="000000"/>
          <w:bdr w:val="none" w:sz="0" w:space="0" w:color="auto" w:frame="1"/>
          <w:lang w:val="en-US" w:eastAsia="fr-FR"/>
        </w:rPr>
        <w:t>ing</w:t>
      </w:r>
      <w:r w:rsidR="00480F04">
        <w:rPr>
          <w:rFonts w:ascii="Calibri" w:eastAsia="Times New Roman" w:hAnsi="Calibri" w:cs="Calibri"/>
          <w:color w:val="000000"/>
          <w:bdr w:val="none" w:sz="0" w:space="0" w:color="auto" w:frame="1"/>
          <w:lang w:val="en-US" w:eastAsia="fr-FR"/>
        </w:rPr>
        <w:t xml:space="preserve"> requirements</w:t>
      </w:r>
      <w:r w:rsidR="00DC6FDF">
        <w:rPr>
          <w:rFonts w:ascii="Calibri" w:eastAsia="Times New Roman" w:hAnsi="Calibri" w:cs="Calibri"/>
          <w:color w:val="000000"/>
          <w:bdr w:val="none" w:sz="0" w:space="0" w:color="auto" w:frame="1"/>
          <w:lang w:val="en-US" w:eastAsia="fr-FR"/>
        </w:rPr>
        <w:t xml:space="preserve"> </w:t>
      </w:r>
      <w:r w:rsidR="00657EDD">
        <w:rPr>
          <w:rFonts w:ascii="Calibri" w:eastAsia="Times New Roman" w:hAnsi="Calibri" w:cs="Calibri"/>
          <w:color w:val="000000"/>
          <w:bdr w:val="none" w:sz="0" w:space="0" w:color="auto" w:frame="1"/>
          <w:lang w:val="en-US" w:eastAsia="fr-FR"/>
        </w:rPr>
        <w:t>(</w:t>
      </w:r>
      <w:hyperlink r:id="rId18" w:history="1">
        <w:r w:rsidR="00657EDD" w:rsidRPr="00657EDD">
          <w:rPr>
            <w:rStyle w:val="Hyperlink"/>
            <w:rFonts w:ascii="Calibri" w:eastAsia="Times New Roman" w:hAnsi="Calibri" w:cs="Calibri"/>
            <w:bdr w:val="none" w:sz="0" w:space="0" w:color="auto" w:frame="1"/>
            <w:lang w:val="en-US" w:eastAsia="fr-FR"/>
          </w:rPr>
          <w:t>OL GRC 1/2021</w:t>
        </w:r>
      </w:hyperlink>
      <w:r w:rsidR="007C5D41">
        <w:rPr>
          <w:rFonts w:ascii="Calibri" w:eastAsia="Times New Roman" w:hAnsi="Calibri" w:cs="Calibri"/>
          <w:color w:val="000000"/>
          <w:bdr w:val="none" w:sz="0" w:space="0" w:color="auto" w:frame="1"/>
          <w:lang w:val="en-US" w:eastAsia="fr-FR"/>
        </w:rPr>
        <w:t xml:space="preserve">, available at </w:t>
      </w:r>
      <w:hyperlink r:id="rId19" w:history="1">
        <w:r w:rsidR="007C5D41" w:rsidRPr="00472BA4">
          <w:rPr>
            <w:rStyle w:val="Hyperlink"/>
            <w:rFonts w:ascii="Calibri" w:eastAsia="Times New Roman" w:hAnsi="Calibri" w:cs="Calibri"/>
            <w:bdr w:val="none" w:sz="0" w:space="0" w:color="auto" w:frame="1"/>
            <w:lang w:val="en-US" w:eastAsia="fr-FR"/>
          </w:rPr>
          <w:t>https://spcommreports.ohchr.org/TmSearch/Results</w:t>
        </w:r>
      </w:hyperlink>
      <w:r w:rsidR="007C5D41">
        <w:rPr>
          <w:rFonts w:ascii="Calibri" w:eastAsia="Times New Roman" w:hAnsi="Calibri" w:cs="Calibri"/>
          <w:color w:val="000000"/>
          <w:bdr w:val="none" w:sz="0" w:space="0" w:color="auto" w:frame="1"/>
          <w:lang w:val="en-US" w:eastAsia="fr-FR"/>
        </w:rPr>
        <w:t>)</w:t>
      </w:r>
      <w:r w:rsidR="0031502D">
        <w:rPr>
          <w:rFonts w:ascii="Calibri" w:eastAsia="Times New Roman" w:hAnsi="Calibri" w:cs="Calibri"/>
          <w:color w:val="000000"/>
          <w:bdr w:val="none" w:sz="0" w:space="0" w:color="auto" w:frame="1"/>
          <w:lang w:val="en-US" w:eastAsia="fr-FR"/>
        </w:rPr>
        <w:t>.</w:t>
      </w:r>
      <w:r w:rsidR="007C5D41">
        <w:rPr>
          <w:rFonts w:ascii="Calibri" w:eastAsia="Times New Roman" w:hAnsi="Calibri" w:cs="Calibri"/>
          <w:color w:val="000000"/>
          <w:bdr w:val="none" w:sz="0" w:space="0" w:color="auto" w:frame="1"/>
          <w:lang w:val="en-US" w:eastAsia="fr-FR"/>
        </w:rPr>
        <w:t xml:space="preserve"> </w:t>
      </w:r>
    </w:p>
    <w:p w14:paraId="22A63415" w14:textId="216D8908" w:rsidR="00E95135" w:rsidRDefault="00277310" w:rsidP="00A014C4">
      <w:pPr>
        <w:spacing w:after="0" w:line="240" w:lineRule="auto"/>
        <w:jc w:val="both"/>
        <w:rPr>
          <w:rFonts w:ascii="Calibri" w:eastAsia="Times New Roman" w:hAnsi="Calibri" w:cs="Calibri"/>
          <w:color w:val="000000"/>
          <w:bdr w:val="none" w:sz="0" w:space="0" w:color="auto" w:frame="1"/>
          <w:lang w:val="en-US" w:eastAsia="fr-FR"/>
        </w:rPr>
      </w:pPr>
      <w:r>
        <w:rPr>
          <w:rFonts w:ascii="Calibri" w:eastAsia="Times New Roman" w:hAnsi="Calibri" w:cs="Calibri"/>
          <w:color w:val="000000"/>
          <w:bdr w:val="none" w:sz="0" w:space="0" w:color="auto" w:frame="1"/>
          <w:lang w:val="en-US" w:eastAsia="fr-FR"/>
        </w:rPr>
        <w:t xml:space="preserve">In November 2021, </w:t>
      </w:r>
      <w:r w:rsidR="00B42E79">
        <w:rPr>
          <w:rFonts w:ascii="Calibri" w:eastAsia="Times New Roman" w:hAnsi="Calibri" w:cs="Calibri"/>
          <w:color w:val="000000"/>
          <w:bdr w:val="none" w:sz="0" w:space="0" w:color="auto" w:frame="1"/>
          <w:lang w:val="en-US" w:eastAsia="fr-FR"/>
        </w:rPr>
        <w:t xml:space="preserve">four UN Special Procedures entered into a dialogue with Greece regarding the alleged criminalization of defenders of the rights of migrants, refugees and asylum seekers, Ms. Sarah Mardini and Seán Binder. They noted that concerns had previously been communicated to the Government regarding alleged attacks and intimidation of defenders of the rights of migrants, refugees and asylum seekers </w:t>
      </w:r>
      <w:hyperlink r:id="rId20" w:tgtFrame="Com_26416" w:history="1">
        <w:r w:rsidR="00A014C4" w:rsidRPr="00A014C4">
          <w:rPr>
            <w:rStyle w:val="Hyperlink"/>
            <w:rFonts w:ascii="Calibri" w:eastAsia="Times New Roman" w:hAnsi="Calibri" w:cs="Calibri"/>
            <w:bdr w:val="none" w:sz="0" w:space="0" w:color="auto" w:frame="1"/>
            <w:lang w:val="en-US" w:eastAsia="fr-FR"/>
          </w:rPr>
          <w:t>GRC 2/2021</w:t>
        </w:r>
      </w:hyperlink>
      <w:r w:rsidR="00B42E79">
        <w:rPr>
          <w:rFonts w:ascii="Calibri" w:eastAsia="Times New Roman" w:hAnsi="Calibri" w:cs="Calibri"/>
          <w:color w:val="000000"/>
          <w:bdr w:val="none" w:sz="0" w:space="0" w:color="auto" w:frame="1"/>
          <w:lang w:val="en-US" w:eastAsia="fr-FR"/>
        </w:rPr>
        <w:t xml:space="preserve">, as well as legislation that would place onerous reporting </w:t>
      </w:r>
      <w:r w:rsidR="00B42E79">
        <w:rPr>
          <w:rFonts w:ascii="Calibri" w:eastAsia="Times New Roman" w:hAnsi="Calibri" w:cs="Calibri"/>
          <w:color w:val="000000"/>
          <w:bdr w:val="none" w:sz="0" w:space="0" w:color="auto" w:frame="1"/>
          <w:lang w:val="en-US" w:eastAsia="fr-FR"/>
        </w:rPr>
        <w:lastRenderedPageBreak/>
        <w:t>requirements and conditions on NGOs working in this field</w:t>
      </w:r>
      <w:r w:rsidR="00A014C4">
        <w:rPr>
          <w:rFonts w:ascii="Calibri" w:eastAsia="Times New Roman" w:hAnsi="Calibri" w:cs="Calibri"/>
          <w:color w:val="000000"/>
          <w:bdr w:val="none" w:sz="0" w:space="0" w:color="auto" w:frame="1"/>
          <w:lang w:val="en-US" w:eastAsia="fr-FR"/>
        </w:rPr>
        <w:t xml:space="preserve"> </w:t>
      </w:r>
      <w:hyperlink r:id="rId21" w:tgtFrame="Com_26314" w:history="1">
        <w:r w:rsidR="00A014C4" w:rsidRPr="00A014C4">
          <w:rPr>
            <w:rStyle w:val="Hyperlink"/>
            <w:rFonts w:ascii="Calibri" w:eastAsia="Times New Roman" w:hAnsi="Calibri" w:cs="Calibri"/>
            <w:bdr w:val="none" w:sz="0" w:space="0" w:color="auto" w:frame="1"/>
            <w:lang w:val="en-US" w:eastAsia="fr-FR"/>
          </w:rPr>
          <w:t>GRC 1/2021</w:t>
        </w:r>
      </w:hyperlink>
      <w:r w:rsidR="00B42E79">
        <w:rPr>
          <w:rFonts w:ascii="Calibri" w:eastAsia="Times New Roman" w:hAnsi="Calibri" w:cs="Calibri"/>
          <w:color w:val="000000"/>
          <w:bdr w:val="none" w:sz="0" w:space="0" w:color="auto" w:frame="1"/>
          <w:lang w:val="en-US" w:eastAsia="fr-FR"/>
        </w:rPr>
        <w:t xml:space="preserve">. They noted that several other human rights defenders had reportedly ceased or severely reduced their activities due to difficulties registering or fear of retaliation, and feared that the charges against Ms. Mardini and Mr. Binder </w:t>
      </w:r>
      <w:r w:rsidR="001A4B23">
        <w:rPr>
          <w:rFonts w:ascii="Calibri" w:eastAsia="Times New Roman" w:hAnsi="Calibri" w:cs="Calibri"/>
          <w:color w:val="000000"/>
          <w:bdr w:val="none" w:sz="0" w:space="0" w:color="auto" w:frame="1"/>
          <w:lang w:val="en-US" w:eastAsia="fr-FR"/>
        </w:rPr>
        <w:t>we</w:t>
      </w:r>
      <w:r w:rsidR="00B42E79">
        <w:rPr>
          <w:rFonts w:ascii="Calibri" w:eastAsia="Times New Roman" w:hAnsi="Calibri" w:cs="Calibri"/>
          <w:color w:val="000000"/>
          <w:bdr w:val="none" w:sz="0" w:space="0" w:color="auto" w:frame="1"/>
          <w:lang w:val="en-US" w:eastAsia="fr-FR"/>
        </w:rPr>
        <w:t>re representative of the shrinking civic space in Greece (</w:t>
      </w:r>
      <w:hyperlink r:id="rId22" w:history="1">
        <w:r w:rsidR="00B42E79" w:rsidRPr="00B42E79">
          <w:rPr>
            <w:rStyle w:val="Hyperlink"/>
            <w:rFonts w:ascii="Calibri" w:eastAsia="Times New Roman" w:hAnsi="Calibri" w:cs="Calibri"/>
            <w:bdr w:val="none" w:sz="0" w:space="0" w:color="auto" w:frame="1"/>
            <w:lang w:val="en-US" w:eastAsia="fr-FR"/>
          </w:rPr>
          <w:t>AL GRC 4/2021</w:t>
        </w:r>
      </w:hyperlink>
      <w:r w:rsidR="00B42E79">
        <w:rPr>
          <w:rFonts w:ascii="Calibri" w:eastAsia="Times New Roman" w:hAnsi="Calibri" w:cs="Calibri"/>
          <w:color w:val="000000"/>
          <w:bdr w:val="none" w:sz="0" w:space="0" w:color="auto" w:frame="1"/>
          <w:lang w:val="en-US" w:eastAsia="fr-FR"/>
        </w:rPr>
        <w:t xml:space="preserve">). In her press release on the case, </w:t>
      </w:r>
      <w:r w:rsidR="00E95135" w:rsidRPr="00E95135">
        <w:rPr>
          <w:rFonts w:ascii="Calibri" w:eastAsia="Times New Roman" w:hAnsi="Calibri" w:cs="Calibri"/>
          <w:color w:val="000000"/>
          <w:bdr w:val="none" w:sz="0" w:space="0" w:color="auto" w:frame="1"/>
          <w:lang w:val="en-US" w:eastAsia="fr-FR"/>
        </w:rPr>
        <w:t xml:space="preserve">the </w:t>
      </w:r>
      <w:r w:rsidR="00B42E79">
        <w:rPr>
          <w:rFonts w:ascii="Calibri" w:eastAsia="Times New Roman" w:hAnsi="Calibri" w:cs="Calibri"/>
          <w:color w:val="000000"/>
          <w:bdr w:val="none" w:sz="0" w:space="0" w:color="auto" w:frame="1"/>
          <w:lang w:val="en-US" w:eastAsia="fr-FR"/>
        </w:rPr>
        <w:t xml:space="preserve">UN </w:t>
      </w:r>
      <w:r w:rsidR="00E95135" w:rsidRPr="00E95135">
        <w:rPr>
          <w:rFonts w:ascii="Calibri" w:eastAsia="Times New Roman" w:hAnsi="Calibri" w:cs="Calibri"/>
          <w:color w:val="000000"/>
          <w:bdr w:val="none" w:sz="0" w:space="0" w:color="auto" w:frame="1"/>
          <w:lang w:val="en-US" w:eastAsia="fr-FR"/>
        </w:rPr>
        <w:t>Special Rapporteur on the situation of human rights defenders</w:t>
      </w:r>
      <w:r w:rsidR="00E95135">
        <w:rPr>
          <w:rFonts w:ascii="Calibri" w:eastAsia="Times New Roman" w:hAnsi="Calibri" w:cs="Calibri"/>
          <w:color w:val="000000"/>
          <w:bdr w:val="none" w:sz="0" w:space="0" w:color="auto" w:frame="1"/>
          <w:lang w:val="en-US" w:eastAsia="fr-FR"/>
        </w:rPr>
        <w:t xml:space="preserve"> </w:t>
      </w:r>
      <w:r w:rsidR="00E95135" w:rsidRPr="00E95135">
        <w:rPr>
          <w:rFonts w:ascii="Calibri" w:eastAsia="Times New Roman" w:hAnsi="Calibri" w:cs="Calibri"/>
          <w:color w:val="000000"/>
          <w:bdr w:val="none" w:sz="0" w:space="0" w:color="auto" w:frame="1"/>
          <w:lang w:val="en-US" w:eastAsia="fr-FR"/>
        </w:rPr>
        <w:t xml:space="preserve">urged judicial authorities in Greece against </w:t>
      </w:r>
      <w:r w:rsidR="000F3364" w:rsidRPr="00E95135">
        <w:rPr>
          <w:rFonts w:ascii="Calibri" w:eastAsia="Times New Roman" w:hAnsi="Calibri" w:cs="Calibri"/>
          <w:color w:val="000000"/>
          <w:bdr w:val="none" w:sz="0" w:space="0" w:color="auto" w:frame="1"/>
          <w:lang w:val="en-US" w:eastAsia="fr-FR"/>
        </w:rPr>
        <w:t>criminalizing</w:t>
      </w:r>
      <w:r w:rsidR="00E95135" w:rsidRPr="00E95135">
        <w:rPr>
          <w:rFonts w:ascii="Calibri" w:eastAsia="Times New Roman" w:hAnsi="Calibri" w:cs="Calibri"/>
          <w:color w:val="000000"/>
          <w:bdr w:val="none" w:sz="0" w:space="0" w:color="auto" w:frame="1"/>
          <w:lang w:val="en-US" w:eastAsia="fr-FR"/>
        </w:rPr>
        <w:t xml:space="preserve"> the work of migrant rescuers</w:t>
      </w:r>
      <w:r w:rsidR="00C403EC">
        <w:rPr>
          <w:rFonts w:ascii="Calibri" w:eastAsia="Times New Roman" w:hAnsi="Calibri" w:cs="Calibri"/>
          <w:color w:val="000000"/>
          <w:bdr w:val="none" w:sz="0" w:space="0" w:color="auto" w:frame="1"/>
          <w:lang w:val="en-US" w:eastAsia="fr-FR"/>
        </w:rPr>
        <w:t xml:space="preserve">, and </w:t>
      </w:r>
      <w:r w:rsidR="00E95135">
        <w:rPr>
          <w:rFonts w:ascii="Calibri" w:eastAsia="Times New Roman" w:hAnsi="Calibri" w:cs="Calibri"/>
          <w:color w:val="000000"/>
          <w:bdr w:val="none" w:sz="0" w:space="0" w:color="auto" w:frame="1"/>
          <w:lang w:val="en-US" w:eastAsia="fr-FR"/>
        </w:rPr>
        <w:t xml:space="preserve">stated that this case </w:t>
      </w:r>
      <w:r w:rsidR="00E95135" w:rsidRPr="00E95135">
        <w:rPr>
          <w:rFonts w:ascii="Calibri" w:eastAsia="Times New Roman" w:hAnsi="Calibri" w:cs="Calibri"/>
          <w:color w:val="000000"/>
          <w:bdr w:val="none" w:sz="0" w:space="0" w:color="auto" w:frame="1"/>
          <w:lang w:val="en-US" w:eastAsia="fr-FR"/>
        </w:rPr>
        <w:t>spotlight</w:t>
      </w:r>
      <w:r w:rsidR="001A4B23">
        <w:rPr>
          <w:rFonts w:ascii="Calibri" w:eastAsia="Times New Roman" w:hAnsi="Calibri" w:cs="Calibri"/>
          <w:color w:val="000000"/>
          <w:bdr w:val="none" w:sz="0" w:space="0" w:color="auto" w:frame="1"/>
          <w:lang w:val="en-US" w:eastAsia="fr-FR"/>
        </w:rPr>
        <w:t>ed</w:t>
      </w:r>
      <w:r w:rsidR="00E95135" w:rsidRPr="00E95135">
        <w:rPr>
          <w:rFonts w:ascii="Calibri" w:eastAsia="Times New Roman" w:hAnsi="Calibri" w:cs="Calibri"/>
          <w:color w:val="000000"/>
          <w:bdr w:val="none" w:sz="0" w:space="0" w:color="auto" w:frame="1"/>
          <w:lang w:val="en-US" w:eastAsia="fr-FR"/>
        </w:rPr>
        <w:t xml:space="preserve"> the shrinking space for civil society to stand up for migrant and refugee rights</w:t>
      </w:r>
      <w:r w:rsidR="00C403EC">
        <w:rPr>
          <w:rFonts w:ascii="Calibri" w:eastAsia="Times New Roman" w:hAnsi="Calibri" w:cs="Calibri"/>
          <w:color w:val="000000"/>
          <w:bdr w:val="none" w:sz="0" w:space="0" w:color="auto" w:frame="1"/>
          <w:lang w:val="en-US" w:eastAsia="fr-FR"/>
        </w:rPr>
        <w:t>. She stated, “</w:t>
      </w:r>
      <w:r w:rsidR="00C403EC" w:rsidRPr="00C403EC">
        <w:rPr>
          <w:rFonts w:ascii="Calibri" w:eastAsia="Times New Roman" w:hAnsi="Calibri" w:cs="Calibri"/>
          <w:color w:val="000000"/>
          <w:bdr w:val="none" w:sz="0" w:space="0" w:color="auto" w:frame="1"/>
          <w:lang w:val="en-US" w:eastAsia="fr-FR"/>
        </w:rPr>
        <w:t>Some defenders have told me their work has become next to impossible because of onerous reporting requirements for their non-governmental organisations, threats and attacks against them from non-State actors, and harassment from police</w:t>
      </w:r>
      <w:r w:rsidR="00C403EC">
        <w:rPr>
          <w:rFonts w:ascii="Calibri" w:eastAsia="Times New Roman" w:hAnsi="Calibri" w:cs="Calibri"/>
          <w:color w:val="000000"/>
          <w:bdr w:val="none" w:sz="0" w:space="0" w:color="auto" w:frame="1"/>
          <w:lang w:val="en-US" w:eastAsia="fr-FR"/>
        </w:rPr>
        <w:t xml:space="preserve">... </w:t>
      </w:r>
      <w:r w:rsidR="00C403EC" w:rsidRPr="00C403EC">
        <w:rPr>
          <w:rFonts w:ascii="Calibri" w:eastAsia="Times New Roman" w:hAnsi="Calibri" w:cs="Calibri"/>
          <w:color w:val="000000"/>
          <w:bdr w:val="none" w:sz="0" w:space="0" w:color="auto" w:frame="1"/>
          <w:lang w:val="en-US" w:eastAsia="fr-FR"/>
        </w:rPr>
        <w:t xml:space="preserve">To what have we come that we go against people who are offering solidarity? A guilty verdict for Ms. Mardini and Mr. Binder would be a dark day for Greece, and a dark </w:t>
      </w:r>
      <w:r w:rsidR="00C403EC">
        <w:rPr>
          <w:rFonts w:ascii="Calibri" w:eastAsia="Times New Roman" w:hAnsi="Calibri" w:cs="Calibri"/>
          <w:color w:val="000000"/>
          <w:bdr w:val="none" w:sz="0" w:space="0" w:color="auto" w:frame="1"/>
          <w:lang w:val="en-US" w:eastAsia="fr-FR"/>
        </w:rPr>
        <w:t xml:space="preserve">day for human rights in Europe” </w:t>
      </w:r>
      <w:r w:rsidR="00E42682">
        <w:rPr>
          <w:rFonts w:ascii="Calibri" w:eastAsia="Times New Roman" w:hAnsi="Calibri" w:cs="Calibri"/>
          <w:color w:val="000000"/>
          <w:bdr w:val="none" w:sz="0" w:space="0" w:color="auto" w:frame="1"/>
          <w:lang w:val="en-US" w:eastAsia="fr-FR"/>
        </w:rPr>
        <w:t xml:space="preserve"> </w:t>
      </w:r>
      <w:r w:rsidR="00C403EC">
        <w:rPr>
          <w:rFonts w:ascii="Calibri" w:eastAsia="Times New Roman" w:hAnsi="Calibri" w:cs="Calibri"/>
          <w:color w:val="000000"/>
          <w:bdr w:val="none" w:sz="0" w:space="0" w:color="auto" w:frame="1"/>
          <w:lang w:val="en-US" w:eastAsia="fr-FR"/>
        </w:rPr>
        <w:t>(</w:t>
      </w:r>
      <w:hyperlink r:id="rId23" w:history="1">
        <w:r w:rsidR="00C403EC" w:rsidRPr="00C403EC">
          <w:rPr>
            <w:rStyle w:val="Hyperlink"/>
            <w:rFonts w:ascii="Calibri" w:eastAsia="Times New Roman" w:hAnsi="Calibri" w:cs="Calibri"/>
            <w:bdr w:val="none" w:sz="0" w:space="0" w:color="auto" w:frame="1"/>
            <w:lang w:val="en-US" w:eastAsia="fr-FR"/>
          </w:rPr>
          <w:t>www.ohchr.org/EN/NewsEvents/Pages/DisplayNews.aspx?NewsID=27827&amp;LangID=E</w:t>
        </w:r>
      </w:hyperlink>
      <w:r w:rsidR="00E95135">
        <w:rPr>
          <w:rFonts w:ascii="Calibri" w:eastAsia="Times New Roman" w:hAnsi="Calibri" w:cs="Calibri"/>
          <w:color w:val="000000"/>
          <w:bdr w:val="none" w:sz="0" w:space="0" w:color="auto" w:frame="1"/>
          <w:lang w:val="en-US" w:eastAsia="fr-FR"/>
        </w:rPr>
        <w:t>)</w:t>
      </w:r>
      <w:r w:rsidR="00463928">
        <w:rPr>
          <w:rFonts w:ascii="Calibri" w:eastAsia="Times New Roman" w:hAnsi="Calibri" w:cs="Calibri"/>
          <w:color w:val="000000"/>
          <w:bdr w:val="none" w:sz="0" w:space="0" w:color="auto" w:frame="1"/>
          <w:lang w:val="en-US" w:eastAsia="fr-FR"/>
        </w:rPr>
        <w:t>.</w:t>
      </w:r>
      <w:r w:rsidR="00E95135">
        <w:rPr>
          <w:rFonts w:ascii="Calibri" w:eastAsia="Times New Roman" w:hAnsi="Calibri" w:cs="Calibri"/>
          <w:color w:val="000000"/>
          <w:bdr w:val="none" w:sz="0" w:space="0" w:color="auto" w:frame="1"/>
          <w:lang w:val="en-US" w:eastAsia="fr-FR"/>
        </w:rPr>
        <w:t xml:space="preserve"> </w:t>
      </w:r>
    </w:p>
    <w:p w14:paraId="3D508DFE" w14:textId="4B09B808" w:rsidR="00125B5D" w:rsidRDefault="00125B5D" w:rsidP="00E95135">
      <w:pPr>
        <w:spacing w:after="0" w:line="240" w:lineRule="auto"/>
        <w:jc w:val="both"/>
        <w:rPr>
          <w:rFonts w:ascii="Calibri" w:eastAsia="Times New Roman" w:hAnsi="Calibri" w:cs="Calibri"/>
          <w:color w:val="000000"/>
          <w:bdr w:val="none" w:sz="0" w:space="0" w:color="auto" w:frame="1"/>
          <w:lang w:val="en-US" w:eastAsia="fr-FR"/>
        </w:rPr>
      </w:pPr>
    </w:p>
    <w:p w14:paraId="4EE5E904" w14:textId="4A99D411" w:rsidR="00125B5D" w:rsidRDefault="00125B5D" w:rsidP="00E95135">
      <w:pPr>
        <w:spacing w:after="0" w:line="240" w:lineRule="auto"/>
        <w:jc w:val="both"/>
        <w:rPr>
          <w:rFonts w:ascii="Calibri" w:eastAsia="Times New Roman" w:hAnsi="Calibri" w:cs="Calibri"/>
          <w:color w:val="000000"/>
          <w:bdr w:val="none" w:sz="0" w:space="0" w:color="auto" w:frame="1"/>
          <w:lang w:val="en-US" w:eastAsia="fr-FR"/>
        </w:rPr>
      </w:pPr>
      <w:r>
        <w:rPr>
          <w:rFonts w:ascii="Calibri" w:eastAsia="Times New Roman" w:hAnsi="Calibri" w:cs="Calibri"/>
          <w:color w:val="000000"/>
          <w:bdr w:val="none" w:sz="0" w:space="0" w:color="auto" w:frame="1"/>
          <w:lang w:val="en-US" w:eastAsia="fr-FR"/>
        </w:rPr>
        <w:t xml:space="preserve">In his report of May 2021 on means to address the human rights impact of pushbacks of migrants on land and at sea, the UN Special Rapporteur on the human rights of migrants noted that NGO ships and crews involved in search and rescue had faced criminal charges in criminal or administrative proceedings initiated by countries including Greece since 2016. He noted that NGOs in Greece were investigated and prosecuted by authorities on </w:t>
      </w:r>
      <w:r w:rsidRPr="00125B5D">
        <w:rPr>
          <w:rFonts w:ascii="Calibri" w:eastAsia="Times New Roman" w:hAnsi="Calibri" w:cs="Calibri"/>
          <w:color w:val="000000"/>
          <w:bdr w:val="none" w:sz="0" w:space="0" w:color="auto" w:frame="1"/>
          <w:lang w:val="en-US" w:eastAsia="fr-FR"/>
        </w:rPr>
        <w:t>grounds of “espionage”, “violation of State secrets”, “membership of a criminal organization”</w:t>
      </w:r>
      <w:r>
        <w:rPr>
          <w:rFonts w:ascii="Calibri" w:eastAsia="Times New Roman" w:hAnsi="Calibri" w:cs="Calibri"/>
          <w:color w:val="000000"/>
          <w:bdr w:val="none" w:sz="0" w:space="0" w:color="auto" w:frame="1"/>
          <w:lang w:val="en-US" w:eastAsia="fr-FR"/>
        </w:rPr>
        <w:t xml:space="preserve"> </w:t>
      </w:r>
      <w:r w:rsidRPr="00125B5D">
        <w:rPr>
          <w:rFonts w:ascii="Calibri" w:eastAsia="Times New Roman" w:hAnsi="Calibri" w:cs="Calibri"/>
          <w:color w:val="000000"/>
          <w:bdr w:val="none" w:sz="0" w:space="0" w:color="auto" w:frame="1"/>
          <w:lang w:val="en-US" w:eastAsia="fr-FR"/>
        </w:rPr>
        <w:t>and “violations of the migration law”</w:t>
      </w:r>
      <w:r w:rsidR="0031502D" w:rsidRPr="0031502D">
        <w:rPr>
          <w:rFonts w:ascii="Calibri" w:eastAsia="Times New Roman" w:hAnsi="Calibri" w:cs="Calibri"/>
          <w:color w:val="000000"/>
          <w:bdr w:val="none" w:sz="0" w:space="0" w:color="auto" w:frame="1"/>
          <w:lang w:val="en-US" w:eastAsia="fr-FR"/>
        </w:rPr>
        <w:t>(</w:t>
      </w:r>
      <w:hyperlink r:id="rId24" w:history="1">
        <w:r w:rsidR="0031502D" w:rsidRPr="0031502D">
          <w:rPr>
            <w:rStyle w:val="Hyperlink"/>
            <w:rFonts w:ascii="Calibri" w:eastAsia="Times New Roman" w:hAnsi="Calibri" w:cs="Calibri"/>
            <w:bdr w:val="none" w:sz="0" w:space="0" w:color="auto" w:frame="1"/>
            <w:lang w:val="en-US" w:eastAsia="fr-FR"/>
          </w:rPr>
          <w:t>A/HRC/47/30</w:t>
        </w:r>
      </w:hyperlink>
      <w:r w:rsidR="003C6C08">
        <w:rPr>
          <w:rFonts w:ascii="Calibri" w:eastAsia="Times New Roman" w:hAnsi="Calibri" w:cs="Calibri"/>
          <w:color w:val="000000"/>
          <w:bdr w:val="none" w:sz="0" w:space="0" w:color="auto" w:frame="1"/>
          <w:lang w:val="en-US" w:eastAsia="fr-FR"/>
        </w:rPr>
        <w:t>, para</w:t>
      </w:r>
      <w:r>
        <w:rPr>
          <w:rFonts w:ascii="Calibri" w:eastAsia="Times New Roman" w:hAnsi="Calibri" w:cs="Calibri"/>
          <w:color w:val="000000"/>
          <w:bdr w:val="none" w:sz="0" w:space="0" w:color="auto" w:frame="1"/>
          <w:lang w:val="en-US" w:eastAsia="fr-FR"/>
        </w:rPr>
        <w:t>. 87).</w:t>
      </w:r>
    </w:p>
    <w:p w14:paraId="2BB2DCBD" w14:textId="28E039EB" w:rsidR="00E87A2E" w:rsidRDefault="00E87A2E" w:rsidP="00E87A2E">
      <w:pPr>
        <w:pStyle w:val="Header"/>
        <w:rPr>
          <w:lang w:val="en-US"/>
        </w:rPr>
      </w:pPr>
    </w:p>
    <w:p w14:paraId="7E55338D" w14:textId="77777777" w:rsidR="001B7CA2" w:rsidRPr="00E87A2E" w:rsidRDefault="001B7CA2" w:rsidP="00E75F98">
      <w:pPr>
        <w:jc w:val="both"/>
        <w:rPr>
          <w:rFonts w:cstheme="minorHAnsi"/>
          <w:lang w:val="en-US"/>
        </w:rPr>
      </w:pPr>
    </w:p>
    <w:p w14:paraId="6B297B43" w14:textId="77777777"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25"/>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68342" w16cex:dateUtc="2022-01-31T20:03:00Z"/>
  <w16cex:commentExtensible w16cex:durableId="25A68432" w16cex:dateUtc="2022-02-03T15:41:00Z"/>
  <w16cex:commentExtensible w16cex:durableId="25A684C7" w16cex:dateUtc="2022-02-03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917727" w16cid:durableId="25A68342"/>
  <w16cid:commentId w16cid:paraId="7ECC9F7D" w16cid:durableId="25A68432"/>
  <w16cid:commentId w16cid:paraId="710ED746" w16cid:durableId="25A684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36A1B" w14:textId="77777777" w:rsidR="00985D45" w:rsidRDefault="00985D45" w:rsidP="00AB6BD8">
      <w:pPr>
        <w:spacing w:after="0" w:line="240" w:lineRule="auto"/>
      </w:pPr>
      <w:r>
        <w:separator/>
      </w:r>
    </w:p>
  </w:endnote>
  <w:endnote w:type="continuationSeparator" w:id="0">
    <w:p w14:paraId="4A4A6ED3" w14:textId="77777777" w:rsidR="00985D45" w:rsidRDefault="00985D45"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6A29CEA7" w:rsidR="00611DF2" w:rsidRDefault="00611DF2">
        <w:pPr>
          <w:pStyle w:val="Footer"/>
          <w:jc w:val="center"/>
        </w:pPr>
        <w:r>
          <w:fldChar w:fldCharType="begin"/>
        </w:r>
        <w:r>
          <w:instrText>PAGE   \* MERGEFORMAT</w:instrText>
        </w:r>
        <w:r>
          <w:fldChar w:fldCharType="separate"/>
        </w:r>
        <w:r w:rsidR="0031502D" w:rsidRPr="0031502D">
          <w:rPr>
            <w:noProof/>
            <w:lang w:val="fr-FR"/>
          </w:rPr>
          <w:t>2</w:t>
        </w:r>
        <w:r>
          <w:fldChar w:fldCharType="end"/>
        </w:r>
      </w:p>
    </w:sdtContent>
  </w:sdt>
  <w:p w14:paraId="1E65FFBB" w14:textId="77777777" w:rsidR="00611DF2" w:rsidRDefault="00611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FF4DB" w14:textId="77777777" w:rsidR="00985D45" w:rsidRDefault="00985D45" w:rsidP="00AB6BD8">
      <w:pPr>
        <w:spacing w:after="0" w:line="240" w:lineRule="auto"/>
      </w:pPr>
      <w:r>
        <w:separator/>
      </w:r>
    </w:p>
  </w:footnote>
  <w:footnote w:type="continuationSeparator" w:id="0">
    <w:p w14:paraId="215359BD" w14:textId="77777777" w:rsidR="00985D45" w:rsidRDefault="00985D45"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419B4"/>
    <w:rsid w:val="00054A2B"/>
    <w:rsid w:val="000555C4"/>
    <w:rsid w:val="00094650"/>
    <w:rsid w:val="000B034D"/>
    <w:rsid w:val="000D06BF"/>
    <w:rsid w:val="000E3E0A"/>
    <w:rsid w:val="000E4ACA"/>
    <w:rsid w:val="000E4D1E"/>
    <w:rsid w:val="000E58CC"/>
    <w:rsid w:val="000E7D18"/>
    <w:rsid w:val="000F3364"/>
    <w:rsid w:val="000F7447"/>
    <w:rsid w:val="000F74F4"/>
    <w:rsid w:val="00102288"/>
    <w:rsid w:val="00120C05"/>
    <w:rsid w:val="00125B2C"/>
    <w:rsid w:val="00125B5D"/>
    <w:rsid w:val="00137F92"/>
    <w:rsid w:val="00144770"/>
    <w:rsid w:val="00147BF9"/>
    <w:rsid w:val="0015004A"/>
    <w:rsid w:val="00152098"/>
    <w:rsid w:val="00165AFF"/>
    <w:rsid w:val="001868C7"/>
    <w:rsid w:val="001868E0"/>
    <w:rsid w:val="00195595"/>
    <w:rsid w:val="001A17C6"/>
    <w:rsid w:val="001A4B23"/>
    <w:rsid w:val="001A5C25"/>
    <w:rsid w:val="001B7CA2"/>
    <w:rsid w:val="001C075F"/>
    <w:rsid w:val="001C79A2"/>
    <w:rsid w:val="001C7CCF"/>
    <w:rsid w:val="001D03A6"/>
    <w:rsid w:val="001D0456"/>
    <w:rsid w:val="001E08DC"/>
    <w:rsid w:val="001E0C79"/>
    <w:rsid w:val="001E2105"/>
    <w:rsid w:val="0020138C"/>
    <w:rsid w:val="002057FA"/>
    <w:rsid w:val="00206A47"/>
    <w:rsid w:val="002126E6"/>
    <w:rsid w:val="00214E54"/>
    <w:rsid w:val="00221C79"/>
    <w:rsid w:val="00231F28"/>
    <w:rsid w:val="00235A91"/>
    <w:rsid w:val="002430D2"/>
    <w:rsid w:val="0024664D"/>
    <w:rsid w:val="00251082"/>
    <w:rsid w:val="00252C8E"/>
    <w:rsid w:val="002668EA"/>
    <w:rsid w:val="00275AE3"/>
    <w:rsid w:val="00276766"/>
    <w:rsid w:val="00277310"/>
    <w:rsid w:val="00293C29"/>
    <w:rsid w:val="00294805"/>
    <w:rsid w:val="002953FF"/>
    <w:rsid w:val="002969C5"/>
    <w:rsid w:val="002C15AB"/>
    <w:rsid w:val="002C4AD7"/>
    <w:rsid w:val="002D45D1"/>
    <w:rsid w:val="002E5CCE"/>
    <w:rsid w:val="0030165D"/>
    <w:rsid w:val="0031502D"/>
    <w:rsid w:val="00334386"/>
    <w:rsid w:val="00347401"/>
    <w:rsid w:val="003619BB"/>
    <w:rsid w:val="00364DD8"/>
    <w:rsid w:val="00383787"/>
    <w:rsid w:val="003843E1"/>
    <w:rsid w:val="0038485A"/>
    <w:rsid w:val="003A486F"/>
    <w:rsid w:val="003B4F07"/>
    <w:rsid w:val="003C6C08"/>
    <w:rsid w:val="003D7999"/>
    <w:rsid w:val="003F19B1"/>
    <w:rsid w:val="00405880"/>
    <w:rsid w:val="00411DD7"/>
    <w:rsid w:val="00426B65"/>
    <w:rsid w:val="00432070"/>
    <w:rsid w:val="00445679"/>
    <w:rsid w:val="00447DF5"/>
    <w:rsid w:val="00451BE5"/>
    <w:rsid w:val="00457EE6"/>
    <w:rsid w:val="00462100"/>
    <w:rsid w:val="00463928"/>
    <w:rsid w:val="004809CC"/>
    <w:rsid w:val="00480F04"/>
    <w:rsid w:val="00491A44"/>
    <w:rsid w:val="00492559"/>
    <w:rsid w:val="004A0573"/>
    <w:rsid w:val="004A4D25"/>
    <w:rsid w:val="004B60DD"/>
    <w:rsid w:val="004C0B1F"/>
    <w:rsid w:val="004E2A0C"/>
    <w:rsid w:val="004E5D2F"/>
    <w:rsid w:val="005078D2"/>
    <w:rsid w:val="00512F24"/>
    <w:rsid w:val="00561741"/>
    <w:rsid w:val="00572CAC"/>
    <w:rsid w:val="00572D29"/>
    <w:rsid w:val="00576122"/>
    <w:rsid w:val="005852F9"/>
    <w:rsid w:val="00592F7B"/>
    <w:rsid w:val="005936DA"/>
    <w:rsid w:val="00595A34"/>
    <w:rsid w:val="005A53B1"/>
    <w:rsid w:val="005C4199"/>
    <w:rsid w:val="00600F16"/>
    <w:rsid w:val="00610C3A"/>
    <w:rsid w:val="0061181D"/>
    <w:rsid w:val="00611DF2"/>
    <w:rsid w:val="00614DAE"/>
    <w:rsid w:val="00621476"/>
    <w:rsid w:val="006277C8"/>
    <w:rsid w:val="00633DEB"/>
    <w:rsid w:val="0064596A"/>
    <w:rsid w:val="00656276"/>
    <w:rsid w:val="00657EDD"/>
    <w:rsid w:val="0066480F"/>
    <w:rsid w:val="00676FBD"/>
    <w:rsid w:val="00694C36"/>
    <w:rsid w:val="006B2EEF"/>
    <w:rsid w:val="006F10BF"/>
    <w:rsid w:val="00712027"/>
    <w:rsid w:val="007230D7"/>
    <w:rsid w:val="00726393"/>
    <w:rsid w:val="0074007C"/>
    <w:rsid w:val="007467E2"/>
    <w:rsid w:val="00753FA0"/>
    <w:rsid w:val="00765CCF"/>
    <w:rsid w:val="00781994"/>
    <w:rsid w:val="0079724B"/>
    <w:rsid w:val="007C0F61"/>
    <w:rsid w:val="007C5D41"/>
    <w:rsid w:val="007D7490"/>
    <w:rsid w:val="007F10F9"/>
    <w:rsid w:val="007F1F30"/>
    <w:rsid w:val="007F529E"/>
    <w:rsid w:val="0080379C"/>
    <w:rsid w:val="00812CA6"/>
    <w:rsid w:val="00815599"/>
    <w:rsid w:val="00820269"/>
    <w:rsid w:val="008215DF"/>
    <w:rsid w:val="00824724"/>
    <w:rsid w:val="0083739F"/>
    <w:rsid w:val="008526FE"/>
    <w:rsid w:val="00860745"/>
    <w:rsid w:val="008628EF"/>
    <w:rsid w:val="00867498"/>
    <w:rsid w:val="00867CBB"/>
    <w:rsid w:val="0088139C"/>
    <w:rsid w:val="008A1B74"/>
    <w:rsid w:val="008A7229"/>
    <w:rsid w:val="008B50CB"/>
    <w:rsid w:val="008B5DE9"/>
    <w:rsid w:val="008C4411"/>
    <w:rsid w:val="008C6C2E"/>
    <w:rsid w:val="008C7A94"/>
    <w:rsid w:val="008D7F8C"/>
    <w:rsid w:val="008E4FD7"/>
    <w:rsid w:val="008E537C"/>
    <w:rsid w:val="008F0CB6"/>
    <w:rsid w:val="008F5F0F"/>
    <w:rsid w:val="008F689A"/>
    <w:rsid w:val="00916B8E"/>
    <w:rsid w:val="00923EBE"/>
    <w:rsid w:val="0094271B"/>
    <w:rsid w:val="009441AD"/>
    <w:rsid w:val="00951DEB"/>
    <w:rsid w:val="00962913"/>
    <w:rsid w:val="0096772C"/>
    <w:rsid w:val="00982B68"/>
    <w:rsid w:val="00985D45"/>
    <w:rsid w:val="00991323"/>
    <w:rsid w:val="00993B0A"/>
    <w:rsid w:val="00997215"/>
    <w:rsid w:val="009B6FBA"/>
    <w:rsid w:val="009C040C"/>
    <w:rsid w:val="009C6B9F"/>
    <w:rsid w:val="009D1508"/>
    <w:rsid w:val="009E48E9"/>
    <w:rsid w:val="009E7E94"/>
    <w:rsid w:val="00A014C4"/>
    <w:rsid w:val="00A04080"/>
    <w:rsid w:val="00A1060B"/>
    <w:rsid w:val="00A118BB"/>
    <w:rsid w:val="00A14A9C"/>
    <w:rsid w:val="00A2011E"/>
    <w:rsid w:val="00A33884"/>
    <w:rsid w:val="00A346A7"/>
    <w:rsid w:val="00A644E4"/>
    <w:rsid w:val="00A8576F"/>
    <w:rsid w:val="00A95DE7"/>
    <w:rsid w:val="00AB39DD"/>
    <w:rsid w:val="00AB4073"/>
    <w:rsid w:val="00AB6BD8"/>
    <w:rsid w:val="00AB6F97"/>
    <w:rsid w:val="00AD14BD"/>
    <w:rsid w:val="00AD5BC2"/>
    <w:rsid w:val="00AE13F5"/>
    <w:rsid w:val="00AF33F6"/>
    <w:rsid w:val="00AF4734"/>
    <w:rsid w:val="00AF6778"/>
    <w:rsid w:val="00B06121"/>
    <w:rsid w:val="00B1077E"/>
    <w:rsid w:val="00B3376B"/>
    <w:rsid w:val="00B41DB0"/>
    <w:rsid w:val="00B42E79"/>
    <w:rsid w:val="00B4482C"/>
    <w:rsid w:val="00B54E3F"/>
    <w:rsid w:val="00B669A0"/>
    <w:rsid w:val="00B70318"/>
    <w:rsid w:val="00B7754F"/>
    <w:rsid w:val="00B837B5"/>
    <w:rsid w:val="00B85AE7"/>
    <w:rsid w:val="00B8626C"/>
    <w:rsid w:val="00B92E78"/>
    <w:rsid w:val="00B94426"/>
    <w:rsid w:val="00BB67D7"/>
    <w:rsid w:val="00BC1D9A"/>
    <w:rsid w:val="00BF199A"/>
    <w:rsid w:val="00C206C5"/>
    <w:rsid w:val="00C21B69"/>
    <w:rsid w:val="00C25048"/>
    <w:rsid w:val="00C34944"/>
    <w:rsid w:val="00C357C2"/>
    <w:rsid w:val="00C403EC"/>
    <w:rsid w:val="00C46C2E"/>
    <w:rsid w:val="00C46DCD"/>
    <w:rsid w:val="00C5007B"/>
    <w:rsid w:val="00C91D1B"/>
    <w:rsid w:val="00CB73BB"/>
    <w:rsid w:val="00CC6B37"/>
    <w:rsid w:val="00CD1815"/>
    <w:rsid w:val="00CD7A88"/>
    <w:rsid w:val="00CE24A5"/>
    <w:rsid w:val="00CE4C75"/>
    <w:rsid w:val="00CF698C"/>
    <w:rsid w:val="00D002BC"/>
    <w:rsid w:val="00D027D9"/>
    <w:rsid w:val="00D17788"/>
    <w:rsid w:val="00D24DDB"/>
    <w:rsid w:val="00D6657B"/>
    <w:rsid w:val="00D72DF6"/>
    <w:rsid w:val="00D743B4"/>
    <w:rsid w:val="00D76481"/>
    <w:rsid w:val="00D776C3"/>
    <w:rsid w:val="00D848D8"/>
    <w:rsid w:val="00D87626"/>
    <w:rsid w:val="00DA2342"/>
    <w:rsid w:val="00DC04CC"/>
    <w:rsid w:val="00DC2228"/>
    <w:rsid w:val="00DC36E4"/>
    <w:rsid w:val="00DC49B7"/>
    <w:rsid w:val="00DC5B32"/>
    <w:rsid w:val="00DC6FDF"/>
    <w:rsid w:val="00DD1A75"/>
    <w:rsid w:val="00DD51BC"/>
    <w:rsid w:val="00DE2240"/>
    <w:rsid w:val="00DF181A"/>
    <w:rsid w:val="00E03623"/>
    <w:rsid w:val="00E06A90"/>
    <w:rsid w:val="00E14E2A"/>
    <w:rsid w:val="00E33076"/>
    <w:rsid w:val="00E42682"/>
    <w:rsid w:val="00E70E81"/>
    <w:rsid w:val="00E7390A"/>
    <w:rsid w:val="00E7579B"/>
    <w:rsid w:val="00E75F98"/>
    <w:rsid w:val="00E85BC4"/>
    <w:rsid w:val="00E87A2E"/>
    <w:rsid w:val="00E92C99"/>
    <w:rsid w:val="00E943EC"/>
    <w:rsid w:val="00E95135"/>
    <w:rsid w:val="00E97B09"/>
    <w:rsid w:val="00EA5201"/>
    <w:rsid w:val="00EB0581"/>
    <w:rsid w:val="00ED5335"/>
    <w:rsid w:val="00ED7A10"/>
    <w:rsid w:val="00EE6A52"/>
    <w:rsid w:val="00EF2BDF"/>
    <w:rsid w:val="00EF36D6"/>
    <w:rsid w:val="00EF4DF8"/>
    <w:rsid w:val="00F464F2"/>
    <w:rsid w:val="00F7351E"/>
    <w:rsid w:val="00F767DF"/>
    <w:rsid w:val="00F7725E"/>
    <w:rsid w:val="00FE1807"/>
    <w:rsid w:val="00FF310E"/>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character" w:customStyle="1" w:styleId="mark5lzu2uz4h">
    <w:name w:val="mark5lzu2uz4h"/>
    <w:basedOn w:val="DefaultParagraphFont"/>
    <w:rsid w:val="00D743B4"/>
  </w:style>
  <w:style w:type="character" w:customStyle="1" w:styleId="markll5gfgsoa">
    <w:name w:val="markll5gfgsoa"/>
    <w:basedOn w:val="DefaultParagraphFont"/>
    <w:rsid w:val="00D743B4"/>
  </w:style>
  <w:style w:type="character" w:customStyle="1" w:styleId="Mentionnonrsolue1">
    <w:name w:val="Mention non résolue1"/>
    <w:basedOn w:val="DefaultParagraphFont"/>
    <w:uiPriority w:val="99"/>
    <w:semiHidden/>
    <w:unhideWhenUsed/>
    <w:rsid w:val="00657EDD"/>
    <w:rPr>
      <w:color w:val="605E5C"/>
      <w:shd w:val="clear" w:color="auto" w:fill="E1DFDD"/>
    </w:rPr>
  </w:style>
  <w:style w:type="character" w:customStyle="1" w:styleId="UnresolvedMention2">
    <w:name w:val="Unresolved Mention2"/>
    <w:basedOn w:val="DefaultParagraphFont"/>
    <w:uiPriority w:val="99"/>
    <w:semiHidden/>
    <w:unhideWhenUsed/>
    <w:rsid w:val="00E95135"/>
    <w:rPr>
      <w:color w:val="605E5C"/>
      <w:shd w:val="clear" w:color="auto" w:fill="E1DFDD"/>
    </w:rPr>
  </w:style>
  <w:style w:type="paragraph" w:styleId="Revision">
    <w:name w:val="Revision"/>
    <w:hidden/>
    <w:uiPriority w:val="99"/>
    <w:semiHidden/>
    <w:rsid w:val="003A48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7178">
      <w:bodyDiv w:val="1"/>
      <w:marLeft w:val="0"/>
      <w:marRight w:val="0"/>
      <w:marTop w:val="0"/>
      <w:marBottom w:val="0"/>
      <w:divBdr>
        <w:top w:val="none" w:sz="0" w:space="0" w:color="auto"/>
        <w:left w:val="none" w:sz="0" w:space="0" w:color="auto"/>
        <w:bottom w:val="none" w:sz="0" w:space="0" w:color="auto"/>
        <w:right w:val="none" w:sz="0" w:space="0" w:color="auto"/>
      </w:divBdr>
    </w:div>
    <w:div w:id="127281520">
      <w:bodyDiv w:val="1"/>
      <w:marLeft w:val="0"/>
      <w:marRight w:val="0"/>
      <w:marTop w:val="0"/>
      <w:marBottom w:val="0"/>
      <w:divBdr>
        <w:top w:val="none" w:sz="0" w:space="0" w:color="auto"/>
        <w:left w:val="none" w:sz="0" w:space="0" w:color="auto"/>
        <w:bottom w:val="none" w:sz="0" w:space="0" w:color="auto"/>
        <w:right w:val="none" w:sz="0" w:space="0" w:color="auto"/>
      </w:divBdr>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434907583">
      <w:bodyDiv w:val="1"/>
      <w:marLeft w:val="0"/>
      <w:marRight w:val="0"/>
      <w:marTop w:val="0"/>
      <w:marBottom w:val="0"/>
      <w:divBdr>
        <w:top w:val="none" w:sz="0" w:space="0" w:color="auto"/>
        <w:left w:val="none" w:sz="0" w:space="0" w:color="auto"/>
        <w:bottom w:val="none" w:sz="0" w:space="0" w:color="auto"/>
        <w:right w:val="none" w:sz="0" w:space="0" w:color="auto"/>
      </w:divBdr>
    </w:div>
    <w:div w:id="479925820">
      <w:bodyDiv w:val="1"/>
      <w:marLeft w:val="0"/>
      <w:marRight w:val="0"/>
      <w:marTop w:val="0"/>
      <w:marBottom w:val="0"/>
      <w:divBdr>
        <w:top w:val="none" w:sz="0" w:space="0" w:color="auto"/>
        <w:left w:val="none" w:sz="0" w:space="0" w:color="auto"/>
        <w:bottom w:val="none" w:sz="0" w:space="0" w:color="auto"/>
        <w:right w:val="none" w:sz="0" w:space="0" w:color="auto"/>
      </w:divBdr>
    </w:div>
    <w:div w:id="483620734">
      <w:bodyDiv w:val="1"/>
      <w:marLeft w:val="0"/>
      <w:marRight w:val="0"/>
      <w:marTop w:val="0"/>
      <w:marBottom w:val="0"/>
      <w:divBdr>
        <w:top w:val="none" w:sz="0" w:space="0" w:color="auto"/>
        <w:left w:val="none" w:sz="0" w:space="0" w:color="auto"/>
        <w:bottom w:val="none" w:sz="0" w:space="0" w:color="auto"/>
        <w:right w:val="none" w:sz="0" w:space="0" w:color="auto"/>
      </w:divBdr>
    </w:div>
    <w:div w:id="570042084">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912348614">
      <w:bodyDiv w:val="1"/>
      <w:marLeft w:val="0"/>
      <w:marRight w:val="0"/>
      <w:marTop w:val="0"/>
      <w:marBottom w:val="0"/>
      <w:divBdr>
        <w:top w:val="none" w:sz="0" w:space="0" w:color="auto"/>
        <w:left w:val="none" w:sz="0" w:space="0" w:color="auto"/>
        <w:bottom w:val="none" w:sz="0" w:space="0" w:color="auto"/>
        <w:right w:val="none" w:sz="0" w:space="0" w:color="auto"/>
      </w:divBdr>
    </w:div>
    <w:div w:id="969751486">
      <w:bodyDiv w:val="1"/>
      <w:marLeft w:val="0"/>
      <w:marRight w:val="0"/>
      <w:marTop w:val="0"/>
      <w:marBottom w:val="0"/>
      <w:divBdr>
        <w:top w:val="none" w:sz="0" w:space="0" w:color="auto"/>
        <w:left w:val="none" w:sz="0" w:space="0" w:color="auto"/>
        <w:bottom w:val="none" w:sz="0" w:space="0" w:color="auto"/>
        <w:right w:val="none" w:sz="0" w:space="0" w:color="auto"/>
      </w:divBdr>
    </w:div>
    <w:div w:id="1011882402">
      <w:bodyDiv w:val="1"/>
      <w:marLeft w:val="0"/>
      <w:marRight w:val="0"/>
      <w:marTop w:val="0"/>
      <w:marBottom w:val="0"/>
      <w:divBdr>
        <w:top w:val="none" w:sz="0" w:space="0" w:color="auto"/>
        <w:left w:val="none" w:sz="0" w:space="0" w:color="auto"/>
        <w:bottom w:val="none" w:sz="0" w:space="0" w:color="auto"/>
        <w:right w:val="none" w:sz="0" w:space="0" w:color="auto"/>
      </w:divBdr>
    </w:div>
    <w:div w:id="1024402259">
      <w:bodyDiv w:val="1"/>
      <w:marLeft w:val="0"/>
      <w:marRight w:val="0"/>
      <w:marTop w:val="0"/>
      <w:marBottom w:val="0"/>
      <w:divBdr>
        <w:top w:val="none" w:sz="0" w:space="0" w:color="auto"/>
        <w:left w:val="none" w:sz="0" w:space="0" w:color="auto"/>
        <w:bottom w:val="none" w:sz="0" w:space="0" w:color="auto"/>
        <w:right w:val="none" w:sz="0" w:space="0" w:color="auto"/>
      </w:divBdr>
      <w:divsChild>
        <w:div w:id="190651661">
          <w:marLeft w:val="0"/>
          <w:marRight w:val="0"/>
          <w:marTop w:val="0"/>
          <w:marBottom w:val="0"/>
          <w:divBdr>
            <w:top w:val="none" w:sz="0" w:space="0" w:color="auto"/>
            <w:left w:val="none" w:sz="0" w:space="0" w:color="auto"/>
            <w:bottom w:val="none" w:sz="0" w:space="0" w:color="auto"/>
            <w:right w:val="none" w:sz="0" w:space="0" w:color="auto"/>
          </w:divBdr>
        </w:div>
        <w:div w:id="2035616741">
          <w:marLeft w:val="0"/>
          <w:marRight w:val="0"/>
          <w:marTop w:val="0"/>
          <w:marBottom w:val="0"/>
          <w:divBdr>
            <w:top w:val="none" w:sz="0" w:space="0" w:color="auto"/>
            <w:left w:val="none" w:sz="0" w:space="0" w:color="auto"/>
            <w:bottom w:val="none" w:sz="0" w:space="0" w:color="auto"/>
            <w:right w:val="none" w:sz="0" w:space="0" w:color="auto"/>
          </w:divBdr>
        </w:div>
        <w:div w:id="1546067084">
          <w:marLeft w:val="0"/>
          <w:marRight w:val="0"/>
          <w:marTop w:val="0"/>
          <w:marBottom w:val="0"/>
          <w:divBdr>
            <w:top w:val="none" w:sz="0" w:space="0" w:color="auto"/>
            <w:left w:val="none" w:sz="0" w:space="0" w:color="auto"/>
            <w:bottom w:val="none" w:sz="0" w:space="0" w:color="auto"/>
            <w:right w:val="none" w:sz="0" w:space="0" w:color="auto"/>
          </w:divBdr>
        </w:div>
      </w:divsChild>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254050574">
      <w:bodyDiv w:val="1"/>
      <w:marLeft w:val="0"/>
      <w:marRight w:val="0"/>
      <w:marTop w:val="0"/>
      <w:marBottom w:val="0"/>
      <w:divBdr>
        <w:top w:val="none" w:sz="0" w:space="0" w:color="auto"/>
        <w:left w:val="none" w:sz="0" w:space="0" w:color="auto"/>
        <w:bottom w:val="none" w:sz="0" w:space="0" w:color="auto"/>
        <w:right w:val="none" w:sz="0" w:space="0" w:color="auto"/>
      </w:divBdr>
    </w:div>
    <w:div w:id="1260480276">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commreports.ohchr.org/TMResultsBase/DownLoadPublicCommunicationFile?gId=26828" TargetMode="External"/><Relationship Id="rId13" Type="http://schemas.openxmlformats.org/officeDocument/2006/relationships/hyperlink" Target="https://undocs.org/A/HRC/47/35" TargetMode="External"/><Relationship Id="rId18" Type="http://schemas.openxmlformats.org/officeDocument/2006/relationships/hyperlink" Target="https://spcommreports.ohchr.org/TMResultsBase/DownLoadPublicCommunicationFile?gId=2631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pcommreports.ohchr.org/TMResultsBase/DownLoadPublicCommunicationFile?gId=26314" TargetMode="External"/><Relationship Id="rId7" Type="http://schemas.openxmlformats.org/officeDocument/2006/relationships/endnotes" Target="endnotes.xml"/><Relationship Id="rId12" Type="http://schemas.openxmlformats.org/officeDocument/2006/relationships/hyperlink" Target="https://undocs.org/en/A/HRC/47/30" TargetMode="External"/><Relationship Id="rId17" Type="http://schemas.openxmlformats.org/officeDocument/2006/relationships/hyperlink" Target="https://spcommreports.ohchr.org/TmSearch/Result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pcommreports.ohchr.org/TMResultsBase/DownLoadPublicCommunicationFile?gId=26539" TargetMode="External"/><Relationship Id="rId20" Type="http://schemas.openxmlformats.org/officeDocument/2006/relationships/hyperlink" Target="https://spcommreports.ohchr.org/TMResultsBase/DownLoadPublicCommunicationFile?gId=26416"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commreports.ohchr.org/Tmsearch/TMDocuments" TargetMode="External"/><Relationship Id="rId24" Type="http://schemas.openxmlformats.org/officeDocument/2006/relationships/hyperlink" Target="https://undocs.org/en/A/HRC/47/30" TargetMode="External"/><Relationship Id="rId5" Type="http://schemas.openxmlformats.org/officeDocument/2006/relationships/webSettings" Target="webSettings.xml"/><Relationship Id="rId15" Type="http://schemas.openxmlformats.org/officeDocument/2006/relationships/hyperlink" Target="https://spcommreports.ohchr.org/Tmsearch/TMDocuments" TargetMode="External"/><Relationship Id="rId23" Type="http://schemas.openxmlformats.org/officeDocument/2006/relationships/hyperlink" Target="file:///C:\Users\Edyta\AppData\Local\Microsoft\Windows\INetCache\Content.Outlook\NF8O9HYC\www.ohchr.org\EN\NewsEvents\Pages\DisplayNews.aspx%3fNewsID=27827&amp;LangID=E" TargetMode="External"/><Relationship Id="rId28" Type="http://schemas.microsoft.com/office/2018/08/relationships/commentsExtensible" Target="commentsExtensible.xml"/><Relationship Id="rId10" Type="http://schemas.openxmlformats.org/officeDocument/2006/relationships/hyperlink" Target="https://spcommreports.ohchr.org/TMResultsBase/DownLoadPublicCommunicationFile?gId=26416" TargetMode="External"/><Relationship Id="rId19" Type="http://schemas.openxmlformats.org/officeDocument/2006/relationships/hyperlink" Target="https://spcommreports.ohchr.org/TmSearch/Results" TargetMode="External"/><Relationship Id="rId4" Type="http://schemas.openxmlformats.org/officeDocument/2006/relationships/settings" Target="settings.xml"/><Relationship Id="rId9" Type="http://schemas.openxmlformats.org/officeDocument/2006/relationships/hyperlink" Target="https://spcommreports.ohchr.org/Tmsearch/TMDocuments" TargetMode="External"/><Relationship Id="rId14" Type="http://schemas.openxmlformats.org/officeDocument/2006/relationships/hyperlink" Target="https://spcommreports.ohchr.org/TMResultsBase/DownLoadPublicCommunicationFile?gId=26539" TargetMode="External"/><Relationship Id="rId22" Type="http://schemas.openxmlformats.org/officeDocument/2006/relationships/hyperlink" Target="https://spcommreports.ohchr.org/TMResultsBase/DownLoadPublicCommunicationFile?gId=26828"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F5D89-A23A-4469-BD0C-018F8CAD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1593</Words>
  <Characters>9086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2</cp:revision>
  <dcterms:created xsi:type="dcterms:W3CDTF">2022-02-04T13:00:00Z</dcterms:created>
  <dcterms:modified xsi:type="dcterms:W3CDTF">2022-02-04T13:00:00Z</dcterms:modified>
</cp:coreProperties>
</file>